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152A" w14:textId="6FCE1CCD" w:rsidR="007A1672" w:rsidRDefault="007A1672" w:rsidP="007A1672">
      <w:pPr>
        <w:pStyle w:val="Title"/>
        <w:outlineLvl w:val="0"/>
        <w:rPr>
          <w:rFonts w:ascii="CG Times" w:hAnsi="CG Times"/>
        </w:rPr>
      </w:pPr>
      <w:r>
        <w:rPr>
          <w:rFonts w:ascii="CG Times" w:hAnsi="CG Times"/>
          <w:noProof/>
        </w:rPr>
        <w:drawing>
          <wp:inline distT="0" distB="0" distL="0" distR="0" wp14:anchorId="46D6A2EB" wp14:editId="0BAD8980">
            <wp:extent cx="6858000" cy="1976755"/>
            <wp:effectExtent l="0" t="0" r="0" b="4445"/>
            <wp:docPr id="3" name="Picture 3" descr="Commonwealth of Virginia State Corporation Commission Public Service Taxation Division Letterhea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of Virginia State Corporation Commission Public Service Taxation Division Letterhea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1976755"/>
                    </a:xfrm>
                    <a:prstGeom prst="rect">
                      <a:avLst/>
                    </a:prstGeom>
                  </pic:spPr>
                </pic:pic>
              </a:graphicData>
            </a:graphic>
          </wp:inline>
        </w:drawing>
      </w:r>
    </w:p>
    <w:p w14:paraId="43F7CEBA" w14:textId="4FB87735" w:rsidR="00C1515D" w:rsidRDefault="00C1515D">
      <w:pPr>
        <w:pStyle w:val="Title"/>
        <w:outlineLvl w:val="0"/>
        <w:rPr>
          <w:rFonts w:ascii="CG Times" w:hAnsi="CG Times"/>
        </w:rPr>
      </w:pPr>
      <w:r>
        <w:rPr>
          <w:rFonts w:ascii="CG Times" w:hAnsi="CG Times"/>
        </w:rPr>
        <w:t>Electric Utility Consumption Tax Monthly Report</w:t>
      </w:r>
    </w:p>
    <w:p w14:paraId="14C288D2" w14:textId="2986DA49" w:rsidR="00C1515D" w:rsidRDefault="00C1515D">
      <w:pPr>
        <w:pStyle w:val="Subtitle"/>
        <w:outlineLvl w:val="0"/>
      </w:pPr>
      <w:r>
        <w:t>Pursuant to §§ 58.1-2900 through 58.1-2903</w:t>
      </w:r>
    </w:p>
    <w:p w14:paraId="1796162B" w14:textId="77777777" w:rsidR="002B4330" w:rsidRPr="00577AE2" w:rsidRDefault="002B4330" w:rsidP="002B4330">
      <w:pPr>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528"/>
        <w:gridCol w:w="1615"/>
        <w:gridCol w:w="2255"/>
        <w:gridCol w:w="1975"/>
        <w:gridCol w:w="1805"/>
      </w:tblGrid>
      <w:tr w:rsidR="002B4330" w14:paraId="21C46ACE" w14:textId="77777777" w:rsidTr="006D65F1">
        <w:trPr>
          <w:jc w:val="center"/>
        </w:trPr>
        <w:tc>
          <w:tcPr>
            <w:tcW w:w="632" w:type="dxa"/>
          </w:tcPr>
          <w:p w14:paraId="73DD29C3" w14:textId="77777777" w:rsidR="002B4330" w:rsidRDefault="002B4330" w:rsidP="007F7AA3">
            <w:r>
              <w:t>Date</w:t>
            </w:r>
          </w:p>
        </w:tc>
        <w:tc>
          <w:tcPr>
            <w:tcW w:w="1528" w:type="dxa"/>
            <w:tcBorders>
              <w:bottom w:val="single" w:sz="4" w:space="0" w:color="auto"/>
            </w:tcBorders>
            <w:vAlign w:val="bottom"/>
          </w:tcPr>
          <w:p w14:paraId="06981C3F" w14:textId="242768A3" w:rsidR="002B4330" w:rsidRDefault="007A1672" w:rsidP="00347A79">
            <w:pPr>
              <w:jc w:val="center"/>
            </w:pPr>
            <w:r>
              <w:fldChar w:fldCharType="begin">
                <w:ffData>
                  <w:name w:val="Text1"/>
                  <w:enabled/>
                  <w:calcOnExit w:val="0"/>
                  <w:textInput/>
                </w:ffData>
              </w:fldChar>
            </w:r>
            <w:r>
              <w:instrText xml:space="preserve"> </w:instrText>
            </w:r>
            <w:bookmarkStart w:id="0" w:name="Text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615" w:type="dxa"/>
          </w:tcPr>
          <w:p w14:paraId="148060DA" w14:textId="77777777" w:rsidR="002B4330" w:rsidRDefault="002B4330" w:rsidP="007F7AA3">
            <w:r>
              <w:t>Month of Billing</w:t>
            </w:r>
          </w:p>
        </w:tc>
        <w:tc>
          <w:tcPr>
            <w:tcW w:w="2255" w:type="dxa"/>
            <w:tcBorders>
              <w:bottom w:val="single" w:sz="4" w:space="0" w:color="auto"/>
            </w:tcBorders>
            <w:vAlign w:val="bottom"/>
          </w:tcPr>
          <w:p w14:paraId="1C103502" w14:textId="0964CEB3" w:rsidR="002B4330" w:rsidRDefault="007A1672" w:rsidP="00347A79">
            <w:pPr>
              <w:jc w:val="center"/>
            </w:pPr>
            <w:r>
              <w:fldChar w:fldCharType="begin">
                <w:ffData>
                  <w:name w:val="Text2"/>
                  <w:enabled/>
                  <w:calcOnExit w:val="0"/>
                  <w:textInput/>
                </w:ffData>
              </w:fldChar>
            </w:r>
            <w:r>
              <w:instrText xml:space="preserve"> </w:instrText>
            </w:r>
            <w:bookmarkStart w:id="1" w:name="Text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975" w:type="dxa"/>
          </w:tcPr>
          <w:p w14:paraId="34CE4ED7" w14:textId="77777777" w:rsidR="002B4330" w:rsidRDefault="002B4330" w:rsidP="007F7AA3">
            <w:r>
              <w:t>Company ID Number</w:t>
            </w:r>
          </w:p>
        </w:tc>
        <w:tc>
          <w:tcPr>
            <w:tcW w:w="1805" w:type="dxa"/>
            <w:tcBorders>
              <w:bottom w:val="single" w:sz="4" w:space="0" w:color="auto"/>
            </w:tcBorders>
            <w:vAlign w:val="bottom"/>
          </w:tcPr>
          <w:p w14:paraId="69B36206" w14:textId="1DF78234" w:rsidR="002B4330" w:rsidRDefault="006D65F1" w:rsidP="00347A79">
            <w:pPr>
              <w:jc w:val="center"/>
            </w:pPr>
            <w:r>
              <w:fldChar w:fldCharType="begin">
                <w:ffData>
                  <w:name w:val="Text3"/>
                  <w:enabled/>
                  <w:calcOnExit w:val="0"/>
                  <w:textInput>
                    <w:default w:val="(SCC assigned)"/>
                  </w:textInput>
                </w:ffData>
              </w:fldChar>
            </w:r>
            <w:bookmarkStart w:id="2" w:name="Text3"/>
            <w:r>
              <w:instrText xml:space="preserve"> FORMTEXT </w:instrText>
            </w:r>
            <w:r>
              <w:fldChar w:fldCharType="separate"/>
            </w:r>
            <w:r>
              <w:rPr>
                <w:noProof/>
              </w:rPr>
              <w:t>(SCC assigned)</w:t>
            </w:r>
            <w:r>
              <w:fldChar w:fldCharType="end"/>
            </w:r>
            <w:bookmarkEnd w:id="2"/>
          </w:p>
        </w:tc>
      </w:tr>
    </w:tbl>
    <w:p w14:paraId="0E81AC49" w14:textId="77777777" w:rsidR="002B4330" w:rsidRDefault="002B4330" w:rsidP="002B4330"/>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288"/>
        <w:gridCol w:w="4536"/>
      </w:tblGrid>
      <w:tr w:rsidR="00642163" w14:paraId="7835A302" w14:textId="77777777" w:rsidTr="00347A79">
        <w:trPr>
          <w:jc w:val="center"/>
        </w:trPr>
        <w:tc>
          <w:tcPr>
            <w:tcW w:w="4986" w:type="dxa"/>
            <w:tcBorders>
              <w:bottom w:val="single" w:sz="4" w:space="0" w:color="auto"/>
            </w:tcBorders>
            <w:vAlign w:val="bottom"/>
          </w:tcPr>
          <w:p w14:paraId="1FBB2B9D" w14:textId="65FDEBEF" w:rsidR="002B4330" w:rsidRPr="00347A79" w:rsidRDefault="007A1672" w:rsidP="00347A79">
            <w:pPr>
              <w:jc w:val="center"/>
              <w:rPr>
                <w:lang w:val="en-US"/>
              </w:rPr>
            </w:pPr>
            <w:r>
              <w:fldChar w:fldCharType="begin">
                <w:ffData>
                  <w:name w:val="Text4"/>
                  <w:enabled/>
                  <w:calcOnExit w:val="0"/>
                  <w:textInput/>
                </w:ffData>
              </w:fldChar>
            </w:r>
            <w:r>
              <w:instrText xml:space="preserve"> </w:instrText>
            </w:r>
            <w:bookmarkStart w:id="3" w:name="Text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88" w:type="dxa"/>
          </w:tcPr>
          <w:p w14:paraId="6A84D743" w14:textId="77777777" w:rsidR="002B4330" w:rsidRDefault="002B4330" w:rsidP="007F7AA3"/>
        </w:tc>
        <w:tc>
          <w:tcPr>
            <w:tcW w:w="4536" w:type="dxa"/>
            <w:tcBorders>
              <w:bottom w:val="single" w:sz="4" w:space="0" w:color="auto"/>
            </w:tcBorders>
            <w:vAlign w:val="bottom"/>
          </w:tcPr>
          <w:p w14:paraId="05430C25" w14:textId="26579E7C" w:rsidR="002B4330" w:rsidRDefault="007A1672" w:rsidP="00347A79">
            <w:pPr>
              <w:jc w:val="center"/>
            </w:pPr>
            <w:r>
              <w:fldChar w:fldCharType="begin">
                <w:ffData>
                  <w:name w:val="Text5"/>
                  <w:enabled/>
                  <w:calcOnExit w:val="0"/>
                  <w:textInput/>
                </w:ffData>
              </w:fldChar>
            </w:r>
            <w:r>
              <w:instrText xml:space="preserve"> </w:instrText>
            </w:r>
            <w:bookmarkStart w:id="4" w:name="Text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B4330" w14:paraId="58B40556" w14:textId="77777777" w:rsidTr="00642163">
        <w:trPr>
          <w:jc w:val="center"/>
        </w:trPr>
        <w:tc>
          <w:tcPr>
            <w:tcW w:w="4986" w:type="dxa"/>
            <w:tcBorders>
              <w:top w:val="single" w:sz="4" w:space="0" w:color="auto"/>
            </w:tcBorders>
          </w:tcPr>
          <w:p w14:paraId="3CBB6D14" w14:textId="77777777" w:rsidR="002B4330" w:rsidRDefault="002B4330" w:rsidP="007F7AA3">
            <w:pPr>
              <w:jc w:val="center"/>
            </w:pPr>
            <w:r w:rsidRPr="00577AE2">
              <w:rPr>
                <w:sz w:val="16"/>
                <w:szCs w:val="18"/>
              </w:rPr>
              <w:t>(S</w:t>
            </w:r>
            <w:r>
              <w:rPr>
                <w:sz w:val="16"/>
                <w:szCs w:val="18"/>
              </w:rPr>
              <w:t>ervice Provider</w:t>
            </w:r>
            <w:r w:rsidRPr="00577AE2">
              <w:rPr>
                <w:sz w:val="16"/>
                <w:szCs w:val="18"/>
              </w:rPr>
              <w:t>)</w:t>
            </w:r>
          </w:p>
        </w:tc>
        <w:tc>
          <w:tcPr>
            <w:tcW w:w="288" w:type="dxa"/>
          </w:tcPr>
          <w:p w14:paraId="7D545AB9" w14:textId="77777777" w:rsidR="002B4330" w:rsidRDefault="002B4330" w:rsidP="007F7AA3"/>
        </w:tc>
        <w:tc>
          <w:tcPr>
            <w:tcW w:w="4536" w:type="dxa"/>
            <w:tcBorders>
              <w:top w:val="single" w:sz="4" w:space="0" w:color="auto"/>
            </w:tcBorders>
          </w:tcPr>
          <w:p w14:paraId="28296FD5" w14:textId="77777777" w:rsidR="002B4330" w:rsidRDefault="002B4330" w:rsidP="007F7AA3">
            <w:pPr>
              <w:jc w:val="center"/>
            </w:pPr>
            <w:r w:rsidRPr="00577AE2">
              <w:rPr>
                <w:sz w:val="16"/>
                <w:szCs w:val="18"/>
              </w:rPr>
              <w:t>(</w:t>
            </w:r>
            <w:r>
              <w:rPr>
                <w:sz w:val="16"/>
                <w:szCs w:val="18"/>
              </w:rPr>
              <w:t>Contact Person</w:t>
            </w:r>
            <w:r w:rsidRPr="00577AE2">
              <w:rPr>
                <w:sz w:val="16"/>
                <w:szCs w:val="18"/>
              </w:rPr>
              <w:t>)</w:t>
            </w:r>
          </w:p>
        </w:tc>
      </w:tr>
      <w:tr w:rsidR="00642163" w14:paraId="5DC69B6E" w14:textId="77777777" w:rsidTr="00347A79">
        <w:trPr>
          <w:jc w:val="center"/>
        </w:trPr>
        <w:tc>
          <w:tcPr>
            <w:tcW w:w="4986" w:type="dxa"/>
            <w:tcBorders>
              <w:bottom w:val="single" w:sz="4" w:space="0" w:color="auto"/>
            </w:tcBorders>
            <w:vAlign w:val="bottom"/>
          </w:tcPr>
          <w:p w14:paraId="0D3D8E9C" w14:textId="7A2D3A96" w:rsidR="002B4330" w:rsidRDefault="007A1672" w:rsidP="00347A79">
            <w:pPr>
              <w:jc w:val="center"/>
            </w:pPr>
            <w:r>
              <w:fldChar w:fldCharType="begin">
                <w:ffData>
                  <w:name w:val="Text6"/>
                  <w:enabled/>
                  <w:calcOnExit w:val="0"/>
                  <w:textInput/>
                </w:ffData>
              </w:fldChar>
            </w:r>
            <w:r>
              <w:instrText xml:space="preserve"> </w:instrText>
            </w:r>
            <w:bookmarkStart w:id="5" w:name="Text6"/>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8" w:type="dxa"/>
          </w:tcPr>
          <w:p w14:paraId="0D94AC66" w14:textId="77777777" w:rsidR="002B4330" w:rsidRDefault="002B4330" w:rsidP="007F7AA3"/>
        </w:tc>
        <w:tc>
          <w:tcPr>
            <w:tcW w:w="4536" w:type="dxa"/>
            <w:tcBorders>
              <w:bottom w:val="single" w:sz="4" w:space="0" w:color="auto"/>
            </w:tcBorders>
            <w:vAlign w:val="bottom"/>
          </w:tcPr>
          <w:p w14:paraId="1BA68199" w14:textId="2775BF65" w:rsidR="002B4330" w:rsidRDefault="007A1672" w:rsidP="00347A79">
            <w:pPr>
              <w:jc w:val="center"/>
            </w:pPr>
            <w:r>
              <w:fldChar w:fldCharType="begin">
                <w:ffData>
                  <w:name w:val="Text7"/>
                  <w:enabled/>
                  <w:calcOnExit w:val="0"/>
                  <w:textInput/>
                </w:ffData>
              </w:fldChar>
            </w:r>
            <w:r>
              <w:instrText xml:space="preserve"> </w:instrText>
            </w:r>
            <w:bookmarkStart w:id="6" w:name="Text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42163" w14:paraId="63C30A97" w14:textId="77777777" w:rsidTr="00642163">
        <w:trPr>
          <w:jc w:val="center"/>
        </w:trPr>
        <w:tc>
          <w:tcPr>
            <w:tcW w:w="4986" w:type="dxa"/>
            <w:tcBorders>
              <w:top w:val="single" w:sz="4" w:space="0" w:color="auto"/>
            </w:tcBorders>
          </w:tcPr>
          <w:p w14:paraId="2745A46D" w14:textId="77777777" w:rsidR="002B4330" w:rsidRDefault="002B4330" w:rsidP="007F7AA3">
            <w:pPr>
              <w:jc w:val="center"/>
            </w:pPr>
            <w:r w:rsidRPr="00577AE2">
              <w:rPr>
                <w:sz w:val="16"/>
                <w:szCs w:val="18"/>
              </w:rPr>
              <w:t>(</w:t>
            </w:r>
            <w:r>
              <w:rPr>
                <w:sz w:val="16"/>
                <w:szCs w:val="18"/>
              </w:rPr>
              <w:t>Address</w:t>
            </w:r>
            <w:r w:rsidRPr="00577AE2">
              <w:rPr>
                <w:sz w:val="16"/>
                <w:szCs w:val="18"/>
              </w:rPr>
              <w:t>)</w:t>
            </w:r>
          </w:p>
        </w:tc>
        <w:tc>
          <w:tcPr>
            <w:tcW w:w="288" w:type="dxa"/>
          </w:tcPr>
          <w:p w14:paraId="35C1BECB" w14:textId="77777777" w:rsidR="002B4330" w:rsidRDefault="002B4330" w:rsidP="007F7AA3"/>
        </w:tc>
        <w:tc>
          <w:tcPr>
            <w:tcW w:w="4536" w:type="dxa"/>
            <w:tcBorders>
              <w:top w:val="single" w:sz="4" w:space="0" w:color="auto"/>
            </w:tcBorders>
          </w:tcPr>
          <w:p w14:paraId="64C13960" w14:textId="77777777" w:rsidR="002B4330" w:rsidRDefault="002B4330" w:rsidP="007F7AA3">
            <w:pPr>
              <w:jc w:val="center"/>
            </w:pPr>
            <w:r w:rsidRPr="00577AE2">
              <w:rPr>
                <w:sz w:val="16"/>
                <w:szCs w:val="18"/>
              </w:rPr>
              <w:t>(</w:t>
            </w:r>
            <w:r>
              <w:rPr>
                <w:sz w:val="16"/>
                <w:szCs w:val="18"/>
              </w:rPr>
              <w:t>City, State, Zip Code</w:t>
            </w:r>
            <w:r w:rsidRPr="00577AE2">
              <w:rPr>
                <w:sz w:val="16"/>
                <w:szCs w:val="18"/>
              </w:rPr>
              <w:t>)</w:t>
            </w:r>
          </w:p>
        </w:tc>
      </w:tr>
    </w:tbl>
    <w:p w14:paraId="0C963F07" w14:textId="77777777" w:rsidR="00642163" w:rsidRDefault="00642163" w:rsidP="002B4330">
      <w:pPr>
        <w:jc w:val="center"/>
        <w:rPr>
          <w:b/>
          <w:bCs/>
        </w:rPr>
      </w:pPr>
    </w:p>
    <w:p w14:paraId="4C7A2037" w14:textId="784866A2" w:rsidR="002B4330" w:rsidRPr="00577AE2" w:rsidRDefault="002B4330" w:rsidP="002B4330">
      <w:pPr>
        <w:jc w:val="center"/>
        <w:rPr>
          <w:b/>
          <w:bCs/>
        </w:rPr>
      </w:pPr>
      <w:r w:rsidRPr="00577AE2">
        <w:rPr>
          <w:b/>
          <w:bCs/>
        </w:rPr>
        <w:t>Monthly Billing</w:t>
      </w:r>
    </w:p>
    <w:tbl>
      <w:tblPr>
        <w:tblStyle w:val="TableGrid"/>
        <w:tblW w:w="10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45"/>
        <w:gridCol w:w="2480"/>
        <w:gridCol w:w="144"/>
        <w:gridCol w:w="2275"/>
        <w:gridCol w:w="144"/>
        <w:gridCol w:w="2275"/>
      </w:tblGrid>
      <w:tr w:rsidR="00F0394A" w:rsidRPr="002A5621" w14:paraId="2BE6D6B8" w14:textId="77777777" w:rsidTr="00F0394A">
        <w:trPr>
          <w:jc w:val="center"/>
        </w:trPr>
        <w:tc>
          <w:tcPr>
            <w:tcW w:w="2745" w:type="dxa"/>
            <w:vAlign w:val="center"/>
          </w:tcPr>
          <w:p w14:paraId="47767B2A" w14:textId="77777777" w:rsidR="00F0394A" w:rsidRDefault="00F0394A" w:rsidP="00642163">
            <w:pPr>
              <w:jc w:val="center"/>
              <w:rPr>
                <w:sz w:val="18"/>
                <w:szCs w:val="18"/>
                <w:lang w:val="en-US"/>
              </w:rPr>
            </w:pPr>
            <w:r>
              <w:rPr>
                <w:sz w:val="18"/>
                <w:szCs w:val="18"/>
                <w:lang w:val="en-US"/>
              </w:rPr>
              <w:t>Number of Kilowatt Hours</w:t>
            </w:r>
          </w:p>
          <w:p w14:paraId="424958B4" w14:textId="3709D0B5" w:rsidR="006D65F1" w:rsidRPr="00F0394A" w:rsidRDefault="00F0394A" w:rsidP="006D65F1">
            <w:pPr>
              <w:jc w:val="center"/>
              <w:rPr>
                <w:sz w:val="18"/>
                <w:szCs w:val="18"/>
                <w:lang w:val="en-US"/>
              </w:rPr>
            </w:pPr>
            <w:r>
              <w:rPr>
                <w:sz w:val="18"/>
                <w:szCs w:val="18"/>
                <w:lang w:val="en-US"/>
              </w:rPr>
              <w:t>Subject to Consumption Tax</w:t>
            </w:r>
          </w:p>
        </w:tc>
        <w:tc>
          <w:tcPr>
            <w:tcW w:w="2480" w:type="dxa"/>
            <w:vAlign w:val="center"/>
          </w:tcPr>
          <w:p w14:paraId="553D8665" w14:textId="71DA206B" w:rsidR="00F0394A" w:rsidRPr="002A5621" w:rsidRDefault="00F0394A" w:rsidP="001676B5">
            <w:pPr>
              <w:jc w:val="center"/>
              <w:rPr>
                <w:sz w:val="18"/>
                <w:szCs w:val="18"/>
              </w:rPr>
            </w:pPr>
            <w:r>
              <w:rPr>
                <w:sz w:val="18"/>
                <w:szCs w:val="18"/>
              </w:rPr>
              <w:t xml:space="preserve">* </w:t>
            </w:r>
            <w:r w:rsidRPr="002A5621">
              <w:rPr>
                <w:sz w:val="18"/>
                <w:szCs w:val="18"/>
              </w:rPr>
              <w:t>Total</w:t>
            </w:r>
            <w:r>
              <w:rPr>
                <w:sz w:val="18"/>
                <w:szCs w:val="18"/>
              </w:rPr>
              <w:t xml:space="preserve"> KWH </w:t>
            </w:r>
            <w:r w:rsidRPr="002A5621">
              <w:rPr>
                <w:sz w:val="18"/>
                <w:szCs w:val="18"/>
              </w:rPr>
              <w:t>Billed</w:t>
            </w:r>
          </w:p>
        </w:tc>
        <w:tc>
          <w:tcPr>
            <w:tcW w:w="144" w:type="dxa"/>
            <w:vAlign w:val="center"/>
          </w:tcPr>
          <w:p w14:paraId="3459BCE4" w14:textId="77777777" w:rsidR="00F0394A" w:rsidRPr="002A5621" w:rsidRDefault="00F0394A" w:rsidP="007F7AA3">
            <w:pPr>
              <w:jc w:val="center"/>
              <w:rPr>
                <w:sz w:val="18"/>
                <w:szCs w:val="18"/>
              </w:rPr>
            </w:pPr>
          </w:p>
        </w:tc>
        <w:tc>
          <w:tcPr>
            <w:tcW w:w="2275" w:type="dxa"/>
            <w:vAlign w:val="center"/>
          </w:tcPr>
          <w:p w14:paraId="180B7570" w14:textId="1E5B47F9" w:rsidR="00F0394A" w:rsidRDefault="00F0394A" w:rsidP="007F7AA3">
            <w:pPr>
              <w:jc w:val="center"/>
              <w:rPr>
                <w:sz w:val="18"/>
                <w:szCs w:val="18"/>
              </w:rPr>
            </w:pPr>
            <w:r>
              <w:rPr>
                <w:sz w:val="18"/>
                <w:szCs w:val="18"/>
              </w:rPr>
              <w:t xml:space="preserve">* </w:t>
            </w:r>
            <w:r w:rsidRPr="002A5621">
              <w:rPr>
                <w:sz w:val="18"/>
                <w:szCs w:val="18"/>
              </w:rPr>
              <w:t>State</w:t>
            </w:r>
          </w:p>
          <w:p w14:paraId="0FFD30DF" w14:textId="3EB3F003" w:rsidR="00F0394A" w:rsidRPr="002A5621" w:rsidRDefault="00F0394A" w:rsidP="007F7AA3">
            <w:pPr>
              <w:jc w:val="center"/>
              <w:rPr>
                <w:sz w:val="18"/>
                <w:szCs w:val="18"/>
              </w:rPr>
            </w:pPr>
            <w:r w:rsidRPr="002A5621">
              <w:rPr>
                <w:sz w:val="18"/>
                <w:szCs w:val="18"/>
              </w:rPr>
              <w:t>Consumption</w:t>
            </w:r>
          </w:p>
          <w:p w14:paraId="7F489215" w14:textId="77777777" w:rsidR="00F0394A" w:rsidRPr="002A5621" w:rsidRDefault="00F0394A" w:rsidP="007F7AA3">
            <w:pPr>
              <w:jc w:val="center"/>
              <w:rPr>
                <w:sz w:val="18"/>
                <w:szCs w:val="18"/>
              </w:rPr>
            </w:pPr>
            <w:r w:rsidRPr="002A5621">
              <w:rPr>
                <w:sz w:val="18"/>
                <w:szCs w:val="18"/>
              </w:rPr>
              <w:t>Tax</w:t>
            </w:r>
          </w:p>
        </w:tc>
        <w:tc>
          <w:tcPr>
            <w:tcW w:w="144" w:type="dxa"/>
            <w:vAlign w:val="center"/>
          </w:tcPr>
          <w:p w14:paraId="1E191CE0" w14:textId="77777777" w:rsidR="00F0394A" w:rsidRPr="002A5621" w:rsidRDefault="00F0394A" w:rsidP="007F7AA3">
            <w:pPr>
              <w:jc w:val="center"/>
              <w:rPr>
                <w:sz w:val="18"/>
                <w:szCs w:val="18"/>
              </w:rPr>
            </w:pPr>
          </w:p>
        </w:tc>
        <w:tc>
          <w:tcPr>
            <w:tcW w:w="2275" w:type="dxa"/>
            <w:vAlign w:val="center"/>
          </w:tcPr>
          <w:p w14:paraId="7A25FCAC" w14:textId="77777777" w:rsidR="00F0394A" w:rsidRDefault="00F0394A" w:rsidP="007F7AA3">
            <w:pPr>
              <w:jc w:val="center"/>
              <w:rPr>
                <w:sz w:val="18"/>
                <w:szCs w:val="18"/>
              </w:rPr>
            </w:pPr>
            <w:r>
              <w:rPr>
                <w:sz w:val="18"/>
                <w:szCs w:val="18"/>
              </w:rPr>
              <w:t xml:space="preserve">* </w:t>
            </w:r>
            <w:r w:rsidRPr="002A5621">
              <w:rPr>
                <w:sz w:val="18"/>
                <w:szCs w:val="18"/>
              </w:rPr>
              <w:t>Special</w:t>
            </w:r>
          </w:p>
          <w:p w14:paraId="6D457583" w14:textId="0AA51512" w:rsidR="00F0394A" w:rsidRPr="002A5621" w:rsidRDefault="00F0394A" w:rsidP="007F7AA3">
            <w:pPr>
              <w:jc w:val="center"/>
              <w:rPr>
                <w:sz w:val="18"/>
                <w:szCs w:val="18"/>
              </w:rPr>
            </w:pPr>
            <w:r w:rsidRPr="002A5621">
              <w:rPr>
                <w:sz w:val="18"/>
                <w:szCs w:val="18"/>
              </w:rPr>
              <w:t>Regulatory</w:t>
            </w:r>
          </w:p>
          <w:p w14:paraId="1CBA233F" w14:textId="77777777" w:rsidR="00F0394A" w:rsidRPr="002A5621" w:rsidRDefault="00F0394A" w:rsidP="007F7AA3">
            <w:pPr>
              <w:jc w:val="center"/>
              <w:rPr>
                <w:sz w:val="18"/>
                <w:szCs w:val="18"/>
              </w:rPr>
            </w:pPr>
            <w:r w:rsidRPr="002A5621">
              <w:rPr>
                <w:sz w:val="18"/>
                <w:szCs w:val="18"/>
              </w:rPr>
              <w:t>Tax</w:t>
            </w:r>
          </w:p>
        </w:tc>
      </w:tr>
    </w:tbl>
    <w:p w14:paraId="491208F7" w14:textId="77777777" w:rsidR="00F0394A" w:rsidRDefault="00F0394A"/>
    <w:tbl>
      <w:tblPr>
        <w:tblStyle w:val="TableGrid"/>
        <w:tblW w:w="101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0"/>
        <w:gridCol w:w="1260"/>
        <w:gridCol w:w="2480"/>
        <w:gridCol w:w="144"/>
        <w:gridCol w:w="2275"/>
        <w:gridCol w:w="144"/>
        <w:gridCol w:w="2275"/>
      </w:tblGrid>
      <w:tr w:rsidR="002B4330" w:rsidRPr="002A5621" w14:paraId="3C54FC9A" w14:textId="77777777" w:rsidTr="00347A79">
        <w:trPr>
          <w:jc w:val="center"/>
        </w:trPr>
        <w:tc>
          <w:tcPr>
            <w:tcW w:w="1530" w:type="dxa"/>
          </w:tcPr>
          <w:p w14:paraId="045FCCAD" w14:textId="77777777" w:rsidR="002B4330" w:rsidRPr="00642163" w:rsidRDefault="002B4330" w:rsidP="007F7AA3">
            <w:pPr>
              <w:jc w:val="center"/>
            </w:pPr>
            <w:r w:rsidRPr="00642163">
              <w:t>Kilowatt Hours @</w:t>
            </w:r>
          </w:p>
        </w:tc>
        <w:tc>
          <w:tcPr>
            <w:tcW w:w="1260" w:type="dxa"/>
          </w:tcPr>
          <w:p w14:paraId="113BA7C0" w14:textId="77777777" w:rsidR="002B4330" w:rsidRPr="00642163" w:rsidRDefault="002B4330" w:rsidP="007F7AA3">
            <w:pPr>
              <w:jc w:val="center"/>
            </w:pPr>
            <w:r w:rsidRPr="00642163">
              <w:t>0 - 2,500</w:t>
            </w:r>
          </w:p>
        </w:tc>
        <w:tc>
          <w:tcPr>
            <w:tcW w:w="2480" w:type="dxa"/>
            <w:tcBorders>
              <w:bottom w:val="single" w:sz="4" w:space="0" w:color="auto"/>
            </w:tcBorders>
            <w:vAlign w:val="bottom"/>
          </w:tcPr>
          <w:p w14:paraId="389F21E7" w14:textId="59EB2444" w:rsidR="002B4330" w:rsidRPr="002A5621" w:rsidRDefault="007A1672" w:rsidP="00347A79">
            <w:pPr>
              <w:jc w:val="center"/>
              <w:rPr>
                <w:sz w:val="18"/>
                <w:szCs w:val="18"/>
              </w:rPr>
            </w:pPr>
            <w:r>
              <w:rPr>
                <w:sz w:val="18"/>
                <w:szCs w:val="18"/>
              </w:rPr>
              <w:fldChar w:fldCharType="begin">
                <w:ffData>
                  <w:name w:val="Text8"/>
                  <w:enabled/>
                  <w:calcOnExit w:val="0"/>
                  <w:textInput/>
                </w:ffData>
              </w:fldChar>
            </w:r>
            <w:bookmarkStart w:id="7"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144" w:type="dxa"/>
          </w:tcPr>
          <w:p w14:paraId="4BE47AC0" w14:textId="77777777" w:rsidR="002B4330" w:rsidRPr="002A5621" w:rsidRDefault="002B4330" w:rsidP="007F7AA3">
            <w:pPr>
              <w:rPr>
                <w:sz w:val="18"/>
                <w:szCs w:val="18"/>
              </w:rPr>
            </w:pPr>
          </w:p>
        </w:tc>
        <w:tc>
          <w:tcPr>
            <w:tcW w:w="2275" w:type="dxa"/>
            <w:tcBorders>
              <w:bottom w:val="single" w:sz="4" w:space="0" w:color="auto"/>
            </w:tcBorders>
            <w:vAlign w:val="bottom"/>
          </w:tcPr>
          <w:p w14:paraId="1745FDCE" w14:textId="6BFE1292" w:rsidR="002B4330" w:rsidRPr="007A1672" w:rsidRDefault="007A1672" w:rsidP="00347A79">
            <w:pPr>
              <w:jc w:val="center"/>
              <w:rPr>
                <w:sz w:val="18"/>
                <w:szCs w:val="18"/>
                <w:lang w:val="en-US"/>
              </w:rPr>
            </w:pPr>
            <w:r>
              <w:rPr>
                <w:sz w:val="18"/>
                <w:szCs w:val="18"/>
              </w:rPr>
              <w:fldChar w:fldCharType="begin">
                <w:ffData>
                  <w:name w:val="Text12"/>
                  <w:enabled/>
                  <w:calcOnExit w:val="0"/>
                  <w:textInput/>
                </w:ffData>
              </w:fldChar>
            </w:r>
            <w:bookmarkStart w:id="8"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144" w:type="dxa"/>
            <w:vAlign w:val="bottom"/>
          </w:tcPr>
          <w:p w14:paraId="73268A72" w14:textId="77777777" w:rsidR="002B4330" w:rsidRPr="002A5621" w:rsidRDefault="002B4330" w:rsidP="00347A79">
            <w:pPr>
              <w:jc w:val="center"/>
              <w:rPr>
                <w:sz w:val="18"/>
                <w:szCs w:val="18"/>
              </w:rPr>
            </w:pPr>
          </w:p>
        </w:tc>
        <w:tc>
          <w:tcPr>
            <w:tcW w:w="2275" w:type="dxa"/>
            <w:tcBorders>
              <w:bottom w:val="single" w:sz="4" w:space="0" w:color="auto"/>
            </w:tcBorders>
            <w:vAlign w:val="bottom"/>
          </w:tcPr>
          <w:p w14:paraId="289A239D" w14:textId="52D282E9" w:rsidR="002B4330" w:rsidRPr="002A5621" w:rsidRDefault="007A1672" w:rsidP="00347A79">
            <w:pPr>
              <w:jc w:val="center"/>
              <w:rPr>
                <w:sz w:val="18"/>
                <w:szCs w:val="18"/>
              </w:rPr>
            </w:pPr>
            <w:r>
              <w:rPr>
                <w:sz w:val="18"/>
                <w:szCs w:val="18"/>
              </w:rPr>
              <w:fldChar w:fldCharType="begin">
                <w:ffData>
                  <w:name w:val="Text16"/>
                  <w:enabled/>
                  <w:calcOnExit w:val="0"/>
                  <w:textInput/>
                </w:ffData>
              </w:fldChar>
            </w:r>
            <w:bookmarkStart w:id="9"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2B4330" w:rsidRPr="002A5621" w14:paraId="39976A75" w14:textId="77777777" w:rsidTr="00347A79">
        <w:trPr>
          <w:jc w:val="center"/>
        </w:trPr>
        <w:tc>
          <w:tcPr>
            <w:tcW w:w="1530" w:type="dxa"/>
          </w:tcPr>
          <w:p w14:paraId="236B6D20" w14:textId="77777777" w:rsidR="002B4330" w:rsidRPr="00642163" w:rsidRDefault="002B4330" w:rsidP="007F7AA3">
            <w:pPr>
              <w:jc w:val="center"/>
            </w:pPr>
          </w:p>
          <w:p w14:paraId="6B461B8C" w14:textId="77777777" w:rsidR="002B4330" w:rsidRPr="00642163" w:rsidRDefault="002B4330" w:rsidP="007F7AA3">
            <w:pPr>
              <w:jc w:val="center"/>
            </w:pPr>
            <w:r w:rsidRPr="00642163">
              <w:t>Kilowatt Hours @</w:t>
            </w:r>
          </w:p>
        </w:tc>
        <w:tc>
          <w:tcPr>
            <w:tcW w:w="1260" w:type="dxa"/>
          </w:tcPr>
          <w:p w14:paraId="7B9BA92A" w14:textId="77777777" w:rsidR="002B4330" w:rsidRPr="00642163" w:rsidRDefault="002B4330" w:rsidP="007F7AA3">
            <w:pPr>
              <w:jc w:val="center"/>
            </w:pPr>
          </w:p>
          <w:p w14:paraId="1DB5B243" w14:textId="77777777" w:rsidR="002B4330" w:rsidRPr="00642163" w:rsidRDefault="002B4330" w:rsidP="007F7AA3">
            <w:pPr>
              <w:jc w:val="center"/>
            </w:pPr>
            <w:r w:rsidRPr="00642163">
              <w:t>2,501 - 50,000</w:t>
            </w:r>
          </w:p>
        </w:tc>
        <w:tc>
          <w:tcPr>
            <w:tcW w:w="2480" w:type="dxa"/>
            <w:tcBorders>
              <w:top w:val="single" w:sz="4" w:space="0" w:color="auto"/>
              <w:bottom w:val="single" w:sz="4" w:space="0" w:color="auto"/>
            </w:tcBorders>
            <w:vAlign w:val="bottom"/>
          </w:tcPr>
          <w:p w14:paraId="5E846D82" w14:textId="3BFB5416" w:rsidR="002B4330" w:rsidRPr="002A5621" w:rsidRDefault="007A1672" w:rsidP="00347A79">
            <w:pPr>
              <w:jc w:val="center"/>
              <w:rPr>
                <w:sz w:val="18"/>
                <w:szCs w:val="18"/>
              </w:rPr>
            </w:pPr>
            <w:r>
              <w:rPr>
                <w:sz w:val="18"/>
                <w:szCs w:val="18"/>
              </w:rPr>
              <w:fldChar w:fldCharType="begin">
                <w:ffData>
                  <w:name w:val="Text9"/>
                  <w:enabled/>
                  <w:calcOnExit w:val="0"/>
                  <w:textInput/>
                </w:ffData>
              </w:fldChar>
            </w:r>
            <w:bookmarkStart w:id="10"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144" w:type="dxa"/>
          </w:tcPr>
          <w:p w14:paraId="196A04C6" w14:textId="77777777" w:rsidR="002B4330" w:rsidRPr="002A5621" w:rsidRDefault="002B4330" w:rsidP="007F7AA3">
            <w:pPr>
              <w:rPr>
                <w:sz w:val="18"/>
                <w:szCs w:val="18"/>
              </w:rPr>
            </w:pPr>
          </w:p>
        </w:tc>
        <w:tc>
          <w:tcPr>
            <w:tcW w:w="2275" w:type="dxa"/>
            <w:tcBorders>
              <w:top w:val="single" w:sz="4" w:space="0" w:color="auto"/>
              <w:bottom w:val="single" w:sz="4" w:space="0" w:color="auto"/>
            </w:tcBorders>
            <w:vAlign w:val="bottom"/>
          </w:tcPr>
          <w:p w14:paraId="1345CCAA" w14:textId="15E907FB" w:rsidR="002B4330" w:rsidRPr="007A1672" w:rsidRDefault="007A1672" w:rsidP="00347A79">
            <w:pPr>
              <w:jc w:val="center"/>
              <w:rPr>
                <w:sz w:val="18"/>
                <w:szCs w:val="18"/>
                <w:lang w:val="en-US"/>
              </w:rPr>
            </w:pPr>
            <w:r>
              <w:rPr>
                <w:sz w:val="18"/>
                <w:szCs w:val="18"/>
              </w:rPr>
              <w:fldChar w:fldCharType="begin">
                <w:ffData>
                  <w:name w:val="Text13"/>
                  <w:enabled/>
                  <w:calcOnExit w:val="0"/>
                  <w:textInput/>
                </w:ffData>
              </w:fldChar>
            </w:r>
            <w:bookmarkStart w:id="11"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144" w:type="dxa"/>
            <w:vAlign w:val="bottom"/>
          </w:tcPr>
          <w:p w14:paraId="77C95A17" w14:textId="77777777" w:rsidR="002B4330" w:rsidRPr="002A5621" w:rsidRDefault="002B4330" w:rsidP="00347A79">
            <w:pPr>
              <w:jc w:val="center"/>
              <w:rPr>
                <w:sz w:val="18"/>
                <w:szCs w:val="18"/>
              </w:rPr>
            </w:pPr>
          </w:p>
        </w:tc>
        <w:tc>
          <w:tcPr>
            <w:tcW w:w="2275" w:type="dxa"/>
            <w:tcBorders>
              <w:top w:val="single" w:sz="4" w:space="0" w:color="auto"/>
              <w:bottom w:val="single" w:sz="4" w:space="0" w:color="auto"/>
            </w:tcBorders>
            <w:vAlign w:val="bottom"/>
          </w:tcPr>
          <w:p w14:paraId="02921760" w14:textId="477F4C6A" w:rsidR="002B4330" w:rsidRPr="002A5621" w:rsidRDefault="007A1672" w:rsidP="00347A79">
            <w:pPr>
              <w:jc w:val="center"/>
              <w:rPr>
                <w:sz w:val="18"/>
                <w:szCs w:val="18"/>
              </w:rPr>
            </w:pPr>
            <w:r>
              <w:rPr>
                <w:sz w:val="18"/>
                <w:szCs w:val="18"/>
              </w:rPr>
              <w:fldChar w:fldCharType="begin">
                <w:ffData>
                  <w:name w:val="Text17"/>
                  <w:enabled/>
                  <w:calcOnExit w:val="0"/>
                  <w:textInput/>
                </w:ffData>
              </w:fldChar>
            </w:r>
            <w:bookmarkStart w:id="12"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r w:rsidR="00642163" w:rsidRPr="002A5621" w14:paraId="297AE460" w14:textId="77777777" w:rsidTr="00347A79">
        <w:trPr>
          <w:jc w:val="center"/>
        </w:trPr>
        <w:tc>
          <w:tcPr>
            <w:tcW w:w="1530" w:type="dxa"/>
          </w:tcPr>
          <w:p w14:paraId="00DBE746" w14:textId="77777777" w:rsidR="002B4330" w:rsidRPr="00642163" w:rsidRDefault="002B4330" w:rsidP="007F7AA3">
            <w:pPr>
              <w:jc w:val="center"/>
            </w:pPr>
          </w:p>
          <w:p w14:paraId="0F44079A" w14:textId="77777777" w:rsidR="002B4330" w:rsidRPr="00642163" w:rsidRDefault="002B4330" w:rsidP="007F7AA3">
            <w:pPr>
              <w:jc w:val="center"/>
            </w:pPr>
            <w:r w:rsidRPr="00642163">
              <w:t>Kilowatt Hours @</w:t>
            </w:r>
          </w:p>
        </w:tc>
        <w:tc>
          <w:tcPr>
            <w:tcW w:w="1260" w:type="dxa"/>
          </w:tcPr>
          <w:p w14:paraId="3FE46800" w14:textId="77777777" w:rsidR="002B4330" w:rsidRPr="00642163" w:rsidRDefault="002B4330" w:rsidP="007F7AA3">
            <w:pPr>
              <w:jc w:val="center"/>
            </w:pPr>
          </w:p>
          <w:p w14:paraId="3876B12A" w14:textId="77777777" w:rsidR="002B4330" w:rsidRPr="00642163" w:rsidRDefault="002B4330" w:rsidP="007F7AA3">
            <w:pPr>
              <w:jc w:val="center"/>
            </w:pPr>
            <w:r w:rsidRPr="00642163">
              <w:t>50,000 +</w:t>
            </w:r>
          </w:p>
        </w:tc>
        <w:tc>
          <w:tcPr>
            <w:tcW w:w="2480" w:type="dxa"/>
            <w:tcBorders>
              <w:top w:val="single" w:sz="4" w:space="0" w:color="auto"/>
              <w:bottom w:val="single" w:sz="4" w:space="0" w:color="auto"/>
            </w:tcBorders>
            <w:vAlign w:val="bottom"/>
          </w:tcPr>
          <w:p w14:paraId="3C775C4B" w14:textId="74CF10C5" w:rsidR="002B4330" w:rsidRPr="002A5621" w:rsidRDefault="007A1672" w:rsidP="00347A79">
            <w:pPr>
              <w:jc w:val="center"/>
              <w:rPr>
                <w:sz w:val="18"/>
                <w:szCs w:val="18"/>
              </w:rPr>
            </w:pPr>
            <w:r>
              <w:rPr>
                <w:sz w:val="18"/>
                <w:szCs w:val="18"/>
              </w:rPr>
              <w:fldChar w:fldCharType="begin">
                <w:ffData>
                  <w:name w:val="Text10"/>
                  <w:enabled/>
                  <w:calcOnExit w:val="0"/>
                  <w:textInput/>
                </w:ffData>
              </w:fldChar>
            </w:r>
            <w:bookmarkStart w:id="13"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144" w:type="dxa"/>
          </w:tcPr>
          <w:p w14:paraId="4A1C8063" w14:textId="77777777" w:rsidR="002B4330" w:rsidRPr="002A5621" w:rsidRDefault="002B4330" w:rsidP="007F7AA3">
            <w:pPr>
              <w:rPr>
                <w:sz w:val="18"/>
                <w:szCs w:val="18"/>
              </w:rPr>
            </w:pPr>
          </w:p>
        </w:tc>
        <w:tc>
          <w:tcPr>
            <w:tcW w:w="2275" w:type="dxa"/>
            <w:tcBorders>
              <w:top w:val="single" w:sz="4" w:space="0" w:color="auto"/>
              <w:bottom w:val="single" w:sz="4" w:space="0" w:color="auto"/>
            </w:tcBorders>
            <w:vAlign w:val="bottom"/>
          </w:tcPr>
          <w:p w14:paraId="42763952" w14:textId="1198BB12" w:rsidR="002B4330" w:rsidRPr="007A1672" w:rsidRDefault="007A1672" w:rsidP="00347A79">
            <w:pPr>
              <w:jc w:val="center"/>
              <w:rPr>
                <w:sz w:val="18"/>
                <w:szCs w:val="18"/>
                <w:lang w:val="en-US"/>
              </w:rPr>
            </w:pPr>
            <w:r>
              <w:rPr>
                <w:sz w:val="18"/>
                <w:szCs w:val="18"/>
              </w:rPr>
              <w:fldChar w:fldCharType="begin">
                <w:ffData>
                  <w:name w:val="Text14"/>
                  <w:enabled/>
                  <w:calcOnExit w:val="0"/>
                  <w:textInput/>
                </w:ffData>
              </w:fldChar>
            </w:r>
            <w:bookmarkStart w:id="14"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44" w:type="dxa"/>
            <w:vAlign w:val="bottom"/>
          </w:tcPr>
          <w:p w14:paraId="4C81D315" w14:textId="77777777" w:rsidR="002B4330" w:rsidRPr="002A5621" w:rsidRDefault="002B4330" w:rsidP="00347A79">
            <w:pPr>
              <w:jc w:val="center"/>
              <w:rPr>
                <w:sz w:val="18"/>
                <w:szCs w:val="18"/>
              </w:rPr>
            </w:pPr>
          </w:p>
        </w:tc>
        <w:tc>
          <w:tcPr>
            <w:tcW w:w="2275" w:type="dxa"/>
            <w:tcBorders>
              <w:top w:val="single" w:sz="4" w:space="0" w:color="auto"/>
              <w:bottom w:val="single" w:sz="4" w:space="0" w:color="auto"/>
            </w:tcBorders>
            <w:vAlign w:val="bottom"/>
          </w:tcPr>
          <w:p w14:paraId="2B8BB3BB" w14:textId="1926A88F" w:rsidR="002B4330" w:rsidRPr="002A5621" w:rsidRDefault="007A1672" w:rsidP="00347A79">
            <w:pPr>
              <w:jc w:val="center"/>
              <w:rPr>
                <w:sz w:val="18"/>
                <w:szCs w:val="18"/>
              </w:rPr>
            </w:pPr>
            <w:r>
              <w:rPr>
                <w:sz w:val="18"/>
                <w:szCs w:val="18"/>
              </w:rPr>
              <w:fldChar w:fldCharType="begin">
                <w:ffData>
                  <w:name w:val="Text18"/>
                  <w:enabled/>
                  <w:calcOnExit w:val="0"/>
                  <w:textInput/>
                </w:ffData>
              </w:fldChar>
            </w:r>
            <w:bookmarkStart w:id="15"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642163" w:rsidRPr="002A5621" w14:paraId="323EC3DA" w14:textId="77777777" w:rsidTr="00347A79">
        <w:trPr>
          <w:jc w:val="center"/>
        </w:trPr>
        <w:tc>
          <w:tcPr>
            <w:tcW w:w="1530" w:type="dxa"/>
          </w:tcPr>
          <w:p w14:paraId="6A980FBD" w14:textId="77777777" w:rsidR="002B4330" w:rsidRPr="00642163" w:rsidRDefault="002B4330" w:rsidP="007F7AA3">
            <w:pPr>
              <w:jc w:val="center"/>
            </w:pPr>
          </w:p>
          <w:p w14:paraId="66A0AFD5" w14:textId="77777777" w:rsidR="002B4330" w:rsidRPr="00642163" w:rsidRDefault="002B4330" w:rsidP="007F7AA3">
            <w:pPr>
              <w:jc w:val="center"/>
            </w:pPr>
          </w:p>
        </w:tc>
        <w:tc>
          <w:tcPr>
            <w:tcW w:w="1260" w:type="dxa"/>
          </w:tcPr>
          <w:p w14:paraId="3D8666FB" w14:textId="77777777" w:rsidR="002B4330" w:rsidRPr="00642163" w:rsidRDefault="002B4330" w:rsidP="007F7AA3">
            <w:pPr>
              <w:jc w:val="center"/>
            </w:pPr>
          </w:p>
          <w:p w14:paraId="68297489" w14:textId="77777777" w:rsidR="002B4330" w:rsidRPr="00642163" w:rsidRDefault="002B4330" w:rsidP="007F7AA3">
            <w:pPr>
              <w:jc w:val="center"/>
            </w:pPr>
            <w:r w:rsidRPr="00642163">
              <w:t>Total</w:t>
            </w:r>
          </w:p>
        </w:tc>
        <w:tc>
          <w:tcPr>
            <w:tcW w:w="2480" w:type="dxa"/>
            <w:tcBorders>
              <w:top w:val="single" w:sz="4" w:space="0" w:color="auto"/>
              <w:bottom w:val="double" w:sz="4" w:space="0" w:color="auto"/>
            </w:tcBorders>
            <w:vAlign w:val="bottom"/>
          </w:tcPr>
          <w:p w14:paraId="1968A54E" w14:textId="0ED896FD" w:rsidR="002B4330" w:rsidRPr="002A5621" w:rsidRDefault="007A1672" w:rsidP="00347A79">
            <w:pPr>
              <w:jc w:val="center"/>
              <w:rPr>
                <w:sz w:val="18"/>
                <w:szCs w:val="18"/>
              </w:rPr>
            </w:pPr>
            <w:r>
              <w:rPr>
                <w:sz w:val="18"/>
                <w:szCs w:val="18"/>
              </w:rPr>
              <w:fldChar w:fldCharType="begin">
                <w:ffData>
                  <w:name w:val="Text11"/>
                  <w:enabled/>
                  <w:calcOnExit w:val="0"/>
                  <w:textInput/>
                </w:ffData>
              </w:fldChar>
            </w:r>
            <w:bookmarkStart w:id="16"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144" w:type="dxa"/>
          </w:tcPr>
          <w:p w14:paraId="5E9A6CA3" w14:textId="77777777" w:rsidR="002B4330" w:rsidRPr="002A5621" w:rsidRDefault="002B4330" w:rsidP="007F7AA3">
            <w:pPr>
              <w:rPr>
                <w:sz w:val="18"/>
                <w:szCs w:val="18"/>
              </w:rPr>
            </w:pPr>
          </w:p>
        </w:tc>
        <w:tc>
          <w:tcPr>
            <w:tcW w:w="2275" w:type="dxa"/>
            <w:tcBorders>
              <w:top w:val="single" w:sz="4" w:space="0" w:color="auto"/>
              <w:bottom w:val="double" w:sz="4" w:space="0" w:color="auto"/>
            </w:tcBorders>
            <w:vAlign w:val="bottom"/>
          </w:tcPr>
          <w:p w14:paraId="6546981B" w14:textId="669AFDDD" w:rsidR="002B4330" w:rsidRPr="002A5621" w:rsidRDefault="007A1672" w:rsidP="00347A79">
            <w:pPr>
              <w:jc w:val="center"/>
              <w:rPr>
                <w:sz w:val="18"/>
                <w:szCs w:val="18"/>
              </w:rPr>
            </w:pPr>
            <w:r>
              <w:rPr>
                <w:sz w:val="18"/>
                <w:szCs w:val="18"/>
              </w:rPr>
              <w:fldChar w:fldCharType="begin">
                <w:ffData>
                  <w:name w:val="Text15"/>
                  <w:enabled/>
                  <w:calcOnExit w:val="0"/>
                  <w:textInput/>
                </w:ffData>
              </w:fldChar>
            </w:r>
            <w:bookmarkStart w:id="17"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144" w:type="dxa"/>
            <w:vAlign w:val="bottom"/>
          </w:tcPr>
          <w:p w14:paraId="60463D6A" w14:textId="77777777" w:rsidR="002B4330" w:rsidRPr="002A5621" w:rsidRDefault="002B4330" w:rsidP="00347A79">
            <w:pPr>
              <w:jc w:val="center"/>
              <w:rPr>
                <w:sz w:val="18"/>
                <w:szCs w:val="18"/>
              </w:rPr>
            </w:pPr>
          </w:p>
        </w:tc>
        <w:tc>
          <w:tcPr>
            <w:tcW w:w="2275" w:type="dxa"/>
            <w:tcBorders>
              <w:top w:val="single" w:sz="4" w:space="0" w:color="auto"/>
              <w:bottom w:val="double" w:sz="4" w:space="0" w:color="auto"/>
            </w:tcBorders>
            <w:vAlign w:val="bottom"/>
          </w:tcPr>
          <w:p w14:paraId="01AF0426" w14:textId="353D67A3" w:rsidR="002B4330" w:rsidRPr="002A5621" w:rsidRDefault="007A1672" w:rsidP="00347A79">
            <w:pPr>
              <w:jc w:val="center"/>
              <w:rPr>
                <w:sz w:val="18"/>
                <w:szCs w:val="18"/>
              </w:rPr>
            </w:pPr>
            <w:r>
              <w:rPr>
                <w:sz w:val="18"/>
                <w:szCs w:val="18"/>
              </w:rPr>
              <w:fldChar w:fldCharType="begin">
                <w:ffData>
                  <w:name w:val="Text19"/>
                  <w:enabled/>
                  <w:calcOnExit w:val="0"/>
                  <w:textInput/>
                </w:ffData>
              </w:fldChar>
            </w:r>
            <w:bookmarkStart w:id="18"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bl>
    <w:p w14:paraId="0516DC98" w14:textId="77777777" w:rsidR="00F0394A" w:rsidRDefault="00F0394A"/>
    <w:tbl>
      <w:tblPr>
        <w:tblStyle w:val="TableGrid"/>
        <w:tblW w:w="101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70"/>
        <w:gridCol w:w="144"/>
        <w:gridCol w:w="2275"/>
        <w:gridCol w:w="144"/>
        <w:gridCol w:w="2275"/>
      </w:tblGrid>
      <w:tr w:rsidR="00F0394A" w:rsidRPr="002A5621" w14:paraId="69598DDA" w14:textId="77777777" w:rsidTr="00347A79">
        <w:trPr>
          <w:jc w:val="center"/>
        </w:trPr>
        <w:tc>
          <w:tcPr>
            <w:tcW w:w="5270" w:type="dxa"/>
          </w:tcPr>
          <w:p w14:paraId="01A518AF" w14:textId="322391D9" w:rsidR="00F0394A" w:rsidRPr="00642163" w:rsidRDefault="00F0394A" w:rsidP="00F0394A">
            <w:pPr>
              <w:jc w:val="right"/>
            </w:pPr>
            <w:r w:rsidRPr="00642163">
              <w:t>Adjustment</w:t>
            </w:r>
          </w:p>
        </w:tc>
        <w:tc>
          <w:tcPr>
            <w:tcW w:w="144" w:type="dxa"/>
          </w:tcPr>
          <w:p w14:paraId="35B09850" w14:textId="77777777" w:rsidR="00F0394A" w:rsidRPr="00642163" w:rsidRDefault="00F0394A" w:rsidP="007F7AA3"/>
        </w:tc>
        <w:tc>
          <w:tcPr>
            <w:tcW w:w="2275" w:type="dxa"/>
            <w:tcBorders>
              <w:bottom w:val="single" w:sz="4" w:space="0" w:color="auto"/>
            </w:tcBorders>
            <w:vAlign w:val="bottom"/>
          </w:tcPr>
          <w:p w14:paraId="52D00B61" w14:textId="3DF2D97D" w:rsidR="00F0394A" w:rsidRPr="002A5621" w:rsidRDefault="007A1672" w:rsidP="00347A79">
            <w:pPr>
              <w:jc w:val="center"/>
              <w:rPr>
                <w:sz w:val="18"/>
                <w:szCs w:val="18"/>
              </w:rPr>
            </w:pPr>
            <w:r>
              <w:rPr>
                <w:sz w:val="18"/>
                <w:szCs w:val="18"/>
              </w:rPr>
              <w:fldChar w:fldCharType="begin">
                <w:ffData>
                  <w:name w:val="Text20"/>
                  <w:enabled/>
                  <w:calcOnExit w:val="0"/>
                  <w:textInput/>
                </w:ffData>
              </w:fldChar>
            </w:r>
            <w:bookmarkStart w:id="19"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144" w:type="dxa"/>
            <w:vAlign w:val="bottom"/>
          </w:tcPr>
          <w:p w14:paraId="12517723" w14:textId="77777777" w:rsidR="00F0394A" w:rsidRPr="002A5621" w:rsidRDefault="00F0394A" w:rsidP="00347A79">
            <w:pPr>
              <w:jc w:val="center"/>
              <w:rPr>
                <w:sz w:val="18"/>
                <w:szCs w:val="18"/>
              </w:rPr>
            </w:pPr>
          </w:p>
        </w:tc>
        <w:tc>
          <w:tcPr>
            <w:tcW w:w="2275" w:type="dxa"/>
            <w:tcBorders>
              <w:bottom w:val="single" w:sz="4" w:space="0" w:color="auto"/>
            </w:tcBorders>
            <w:vAlign w:val="bottom"/>
          </w:tcPr>
          <w:p w14:paraId="5A542698" w14:textId="79BDD9BC" w:rsidR="00F0394A" w:rsidRPr="002A5621" w:rsidRDefault="007A1672" w:rsidP="00347A79">
            <w:pPr>
              <w:jc w:val="center"/>
              <w:rPr>
                <w:sz w:val="18"/>
                <w:szCs w:val="18"/>
              </w:rPr>
            </w:pPr>
            <w:r>
              <w:rPr>
                <w:sz w:val="18"/>
                <w:szCs w:val="18"/>
              </w:rPr>
              <w:fldChar w:fldCharType="begin">
                <w:ffData>
                  <w:name w:val="Text21"/>
                  <w:enabled/>
                  <w:calcOnExit w:val="0"/>
                  <w:textInput/>
                </w:ffData>
              </w:fldChar>
            </w:r>
            <w:bookmarkStart w:id="20"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2B4330" w:rsidRPr="002A5621" w14:paraId="60E69031" w14:textId="77777777" w:rsidTr="00347A79">
        <w:trPr>
          <w:jc w:val="center"/>
        </w:trPr>
        <w:tc>
          <w:tcPr>
            <w:tcW w:w="5270" w:type="dxa"/>
          </w:tcPr>
          <w:p w14:paraId="2BA3CEF8" w14:textId="77777777" w:rsidR="002B4330" w:rsidRPr="002A5621" w:rsidRDefault="002B4330" w:rsidP="007F7AA3">
            <w:pPr>
              <w:jc w:val="right"/>
              <w:rPr>
                <w:sz w:val="18"/>
                <w:szCs w:val="18"/>
              </w:rPr>
            </w:pPr>
          </w:p>
        </w:tc>
        <w:tc>
          <w:tcPr>
            <w:tcW w:w="144" w:type="dxa"/>
          </w:tcPr>
          <w:p w14:paraId="4647D3B7" w14:textId="77777777" w:rsidR="002B4330" w:rsidRPr="002A5621" w:rsidRDefault="002B4330" w:rsidP="007F7AA3">
            <w:pPr>
              <w:rPr>
                <w:sz w:val="18"/>
                <w:szCs w:val="18"/>
              </w:rPr>
            </w:pPr>
          </w:p>
        </w:tc>
        <w:tc>
          <w:tcPr>
            <w:tcW w:w="2275" w:type="dxa"/>
            <w:tcBorders>
              <w:top w:val="single" w:sz="4" w:space="0" w:color="auto"/>
            </w:tcBorders>
            <w:vAlign w:val="bottom"/>
          </w:tcPr>
          <w:p w14:paraId="4C91E23B" w14:textId="77777777" w:rsidR="002B4330" w:rsidRPr="002A5621" w:rsidRDefault="002B4330" w:rsidP="00347A79">
            <w:pPr>
              <w:jc w:val="center"/>
              <w:rPr>
                <w:sz w:val="18"/>
                <w:szCs w:val="18"/>
              </w:rPr>
            </w:pPr>
          </w:p>
        </w:tc>
        <w:tc>
          <w:tcPr>
            <w:tcW w:w="144" w:type="dxa"/>
            <w:vAlign w:val="bottom"/>
          </w:tcPr>
          <w:p w14:paraId="13A0C79B" w14:textId="77777777" w:rsidR="002B4330" w:rsidRPr="002A5621" w:rsidRDefault="002B4330" w:rsidP="00347A79">
            <w:pPr>
              <w:jc w:val="center"/>
              <w:rPr>
                <w:sz w:val="18"/>
                <w:szCs w:val="18"/>
              </w:rPr>
            </w:pPr>
          </w:p>
        </w:tc>
        <w:tc>
          <w:tcPr>
            <w:tcW w:w="2275" w:type="dxa"/>
            <w:tcBorders>
              <w:top w:val="single" w:sz="4" w:space="0" w:color="auto"/>
            </w:tcBorders>
            <w:vAlign w:val="bottom"/>
          </w:tcPr>
          <w:p w14:paraId="1A163471" w14:textId="77777777" w:rsidR="002B4330" w:rsidRPr="002A5621" w:rsidRDefault="002B4330" w:rsidP="00347A79">
            <w:pPr>
              <w:jc w:val="center"/>
              <w:rPr>
                <w:sz w:val="18"/>
                <w:szCs w:val="18"/>
              </w:rPr>
            </w:pPr>
          </w:p>
        </w:tc>
      </w:tr>
      <w:tr w:rsidR="002B4330" w:rsidRPr="002A5621" w14:paraId="6D3BAF5A" w14:textId="77777777" w:rsidTr="00347A79">
        <w:trPr>
          <w:jc w:val="center"/>
        </w:trPr>
        <w:tc>
          <w:tcPr>
            <w:tcW w:w="5270" w:type="dxa"/>
          </w:tcPr>
          <w:p w14:paraId="08368A09" w14:textId="77777777" w:rsidR="002B4330" w:rsidRPr="00642163" w:rsidRDefault="002B4330" w:rsidP="007F7AA3">
            <w:pPr>
              <w:jc w:val="right"/>
            </w:pPr>
            <w:r w:rsidRPr="00642163">
              <w:t>Less:  Unpaid Taxes to Service Provider</w:t>
            </w:r>
          </w:p>
        </w:tc>
        <w:tc>
          <w:tcPr>
            <w:tcW w:w="144" w:type="dxa"/>
          </w:tcPr>
          <w:p w14:paraId="2F5A33C4" w14:textId="77777777" w:rsidR="002B4330" w:rsidRPr="00642163" w:rsidRDefault="002B4330" w:rsidP="007F7AA3"/>
        </w:tc>
        <w:tc>
          <w:tcPr>
            <w:tcW w:w="2275" w:type="dxa"/>
            <w:tcBorders>
              <w:bottom w:val="single" w:sz="4" w:space="0" w:color="auto"/>
            </w:tcBorders>
            <w:vAlign w:val="bottom"/>
          </w:tcPr>
          <w:p w14:paraId="3280BE65" w14:textId="489C47D2" w:rsidR="002B4330" w:rsidRPr="002A5621" w:rsidRDefault="002B4330" w:rsidP="00347A79">
            <w:pPr>
              <w:jc w:val="center"/>
              <w:rPr>
                <w:sz w:val="18"/>
                <w:szCs w:val="18"/>
              </w:rPr>
            </w:pPr>
            <w:r w:rsidRPr="002A5621">
              <w:rPr>
                <w:sz w:val="18"/>
                <w:szCs w:val="18"/>
              </w:rPr>
              <w:t>(</w:t>
            </w:r>
            <w:r w:rsidR="007A1672">
              <w:rPr>
                <w:sz w:val="18"/>
                <w:szCs w:val="18"/>
              </w:rPr>
              <w:fldChar w:fldCharType="begin">
                <w:ffData>
                  <w:name w:val="Text22"/>
                  <w:enabled/>
                  <w:calcOnExit w:val="0"/>
                  <w:textInput/>
                </w:ffData>
              </w:fldChar>
            </w:r>
            <w:bookmarkStart w:id="21" w:name="Text22"/>
            <w:r w:rsidR="007A1672">
              <w:rPr>
                <w:sz w:val="18"/>
                <w:szCs w:val="18"/>
              </w:rPr>
              <w:instrText xml:space="preserve"> FORMTEXT </w:instrText>
            </w:r>
            <w:r w:rsidR="007A1672">
              <w:rPr>
                <w:sz w:val="18"/>
                <w:szCs w:val="18"/>
              </w:rPr>
            </w:r>
            <w:r w:rsidR="007A1672">
              <w:rPr>
                <w:sz w:val="18"/>
                <w:szCs w:val="18"/>
              </w:rPr>
              <w:fldChar w:fldCharType="separate"/>
            </w:r>
            <w:r w:rsidR="007A1672">
              <w:rPr>
                <w:noProof/>
                <w:sz w:val="18"/>
                <w:szCs w:val="18"/>
              </w:rPr>
              <w:t> </w:t>
            </w:r>
            <w:r w:rsidR="007A1672">
              <w:rPr>
                <w:noProof/>
                <w:sz w:val="18"/>
                <w:szCs w:val="18"/>
              </w:rPr>
              <w:t> </w:t>
            </w:r>
            <w:r w:rsidR="007A1672">
              <w:rPr>
                <w:noProof/>
                <w:sz w:val="18"/>
                <w:szCs w:val="18"/>
              </w:rPr>
              <w:t> </w:t>
            </w:r>
            <w:r w:rsidR="007A1672">
              <w:rPr>
                <w:noProof/>
                <w:sz w:val="18"/>
                <w:szCs w:val="18"/>
              </w:rPr>
              <w:t> </w:t>
            </w:r>
            <w:r w:rsidR="007A1672">
              <w:rPr>
                <w:noProof/>
                <w:sz w:val="18"/>
                <w:szCs w:val="18"/>
              </w:rPr>
              <w:t> </w:t>
            </w:r>
            <w:r w:rsidR="007A1672">
              <w:rPr>
                <w:sz w:val="18"/>
                <w:szCs w:val="18"/>
              </w:rPr>
              <w:fldChar w:fldCharType="end"/>
            </w:r>
            <w:bookmarkEnd w:id="21"/>
            <w:r w:rsidRPr="002A5621">
              <w:rPr>
                <w:sz w:val="18"/>
                <w:szCs w:val="18"/>
              </w:rPr>
              <w:t>)</w:t>
            </w:r>
          </w:p>
        </w:tc>
        <w:tc>
          <w:tcPr>
            <w:tcW w:w="144" w:type="dxa"/>
            <w:vAlign w:val="bottom"/>
          </w:tcPr>
          <w:p w14:paraId="1014FA84" w14:textId="77777777" w:rsidR="002B4330" w:rsidRPr="002A5621" w:rsidRDefault="002B4330" w:rsidP="00347A79">
            <w:pPr>
              <w:jc w:val="center"/>
              <w:rPr>
                <w:sz w:val="18"/>
                <w:szCs w:val="18"/>
              </w:rPr>
            </w:pPr>
          </w:p>
        </w:tc>
        <w:tc>
          <w:tcPr>
            <w:tcW w:w="2275" w:type="dxa"/>
            <w:tcBorders>
              <w:bottom w:val="single" w:sz="4" w:space="0" w:color="auto"/>
            </w:tcBorders>
            <w:vAlign w:val="bottom"/>
          </w:tcPr>
          <w:p w14:paraId="0FDB5AEB" w14:textId="38D518A9" w:rsidR="002B4330" w:rsidRPr="002A5621" w:rsidRDefault="002B4330" w:rsidP="00347A79">
            <w:pPr>
              <w:jc w:val="center"/>
              <w:rPr>
                <w:sz w:val="18"/>
                <w:szCs w:val="18"/>
              </w:rPr>
            </w:pPr>
            <w:r>
              <w:rPr>
                <w:sz w:val="18"/>
                <w:szCs w:val="18"/>
              </w:rPr>
              <w:t>(</w:t>
            </w:r>
            <w:r w:rsidR="00347A79">
              <w:rPr>
                <w:sz w:val="18"/>
                <w:szCs w:val="18"/>
              </w:rPr>
              <w:fldChar w:fldCharType="begin">
                <w:ffData>
                  <w:name w:val="Text23"/>
                  <w:enabled/>
                  <w:calcOnExit w:val="0"/>
                  <w:textInput/>
                </w:ffData>
              </w:fldChar>
            </w:r>
            <w:bookmarkStart w:id="22" w:name="Text23"/>
            <w:r w:rsidR="00347A79">
              <w:rPr>
                <w:sz w:val="18"/>
                <w:szCs w:val="18"/>
              </w:rPr>
              <w:instrText xml:space="preserve"> FORMTEXT </w:instrText>
            </w:r>
            <w:r w:rsidR="00347A79">
              <w:rPr>
                <w:sz w:val="18"/>
                <w:szCs w:val="18"/>
              </w:rPr>
            </w:r>
            <w:r w:rsidR="00347A79">
              <w:rPr>
                <w:sz w:val="18"/>
                <w:szCs w:val="18"/>
              </w:rPr>
              <w:fldChar w:fldCharType="separate"/>
            </w:r>
            <w:r w:rsidR="00347A79">
              <w:rPr>
                <w:noProof/>
                <w:sz w:val="18"/>
                <w:szCs w:val="18"/>
              </w:rPr>
              <w:t> </w:t>
            </w:r>
            <w:r w:rsidR="00347A79">
              <w:rPr>
                <w:noProof/>
                <w:sz w:val="18"/>
                <w:szCs w:val="18"/>
              </w:rPr>
              <w:t> </w:t>
            </w:r>
            <w:r w:rsidR="00347A79">
              <w:rPr>
                <w:noProof/>
                <w:sz w:val="18"/>
                <w:szCs w:val="18"/>
              </w:rPr>
              <w:t> </w:t>
            </w:r>
            <w:r w:rsidR="00347A79">
              <w:rPr>
                <w:noProof/>
                <w:sz w:val="18"/>
                <w:szCs w:val="18"/>
              </w:rPr>
              <w:t> </w:t>
            </w:r>
            <w:r w:rsidR="00347A79">
              <w:rPr>
                <w:noProof/>
                <w:sz w:val="18"/>
                <w:szCs w:val="18"/>
              </w:rPr>
              <w:t> </w:t>
            </w:r>
            <w:r w:rsidR="00347A79">
              <w:rPr>
                <w:sz w:val="18"/>
                <w:szCs w:val="18"/>
              </w:rPr>
              <w:fldChar w:fldCharType="end"/>
            </w:r>
            <w:bookmarkEnd w:id="22"/>
            <w:r>
              <w:rPr>
                <w:sz w:val="18"/>
                <w:szCs w:val="18"/>
              </w:rPr>
              <w:t>)</w:t>
            </w:r>
          </w:p>
        </w:tc>
      </w:tr>
      <w:tr w:rsidR="002B4330" w:rsidRPr="002A5621" w14:paraId="7678E71B" w14:textId="77777777" w:rsidTr="00347A79">
        <w:trPr>
          <w:jc w:val="center"/>
        </w:trPr>
        <w:tc>
          <w:tcPr>
            <w:tcW w:w="5270" w:type="dxa"/>
          </w:tcPr>
          <w:p w14:paraId="25C30290" w14:textId="77777777" w:rsidR="002B4330" w:rsidRPr="00642163" w:rsidRDefault="002B4330" w:rsidP="007F7AA3">
            <w:pPr>
              <w:jc w:val="right"/>
              <w:rPr>
                <w:sz w:val="14"/>
                <w:szCs w:val="14"/>
              </w:rPr>
            </w:pPr>
            <w:r w:rsidRPr="00642163">
              <w:rPr>
                <w:sz w:val="14"/>
                <w:szCs w:val="14"/>
              </w:rPr>
              <w:t>Pursuant to § 58.1-2901(A)</w:t>
            </w:r>
          </w:p>
        </w:tc>
        <w:tc>
          <w:tcPr>
            <w:tcW w:w="144" w:type="dxa"/>
          </w:tcPr>
          <w:p w14:paraId="45461352" w14:textId="77777777" w:rsidR="002B4330" w:rsidRPr="00642163" w:rsidRDefault="002B4330" w:rsidP="007F7AA3">
            <w:pPr>
              <w:rPr>
                <w:sz w:val="14"/>
                <w:szCs w:val="14"/>
              </w:rPr>
            </w:pPr>
          </w:p>
        </w:tc>
        <w:tc>
          <w:tcPr>
            <w:tcW w:w="2275" w:type="dxa"/>
            <w:vAlign w:val="bottom"/>
          </w:tcPr>
          <w:p w14:paraId="2C6015CB" w14:textId="77777777" w:rsidR="002B4330" w:rsidRPr="00642163" w:rsidRDefault="002B4330" w:rsidP="00347A79">
            <w:pPr>
              <w:jc w:val="center"/>
              <w:rPr>
                <w:sz w:val="16"/>
                <w:szCs w:val="16"/>
              </w:rPr>
            </w:pPr>
          </w:p>
        </w:tc>
        <w:tc>
          <w:tcPr>
            <w:tcW w:w="144" w:type="dxa"/>
            <w:vAlign w:val="bottom"/>
          </w:tcPr>
          <w:p w14:paraId="7D30E0E3" w14:textId="77777777" w:rsidR="002B4330" w:rsidRPr="002A5621" w:rsidRDefault="002B4330" w:rsidP="00347A79">
            <w:pPr>
              <w:jc w:val="center"/>
              <w:rPr>
                <w:sz w:val="18"/>
                <w:szCs w:val="18"/>
              </w:rPr>
            </w:pPr>
          </w:p>
        </w:tc>
        <w:tc>
          <w:tcPr>
            <w:tcW w:w="2275" w:type="dxa"/>
            <w:vAlign w:val="bottom"/>
          </w:tcPr>
          <w:p w14:paraId="573063FE" w14:textId="77777777" w:rsidR="002B4330" w:rsidRPr="002A5621" w:rsidRDefault="002B4330" w:rsidP="00347A79">
            <w:pPr>
              <w:jc w:val="center"/>
              <w:rPr>
                <w:sz w:val="18"/>
                <w:szCs w:val="18"/>
              </w:rPr>
            </w:pPr>
          </w:p>
        </w:tc>
      </w:tr>
      <w:tr w:rsidR="002B4330" w:rsidRPr="002A5621" w14:paraId="08574F2D" w14:textId="77777777" w:rsidTr="00347A79">
        <w:trPr>
          <w:jc w:val="center"/>
        </w:trPr>
        <w:tc>
          <w:tcPr>
            <w:tcW w:w="5270" w:type="dxa"/>
          </w:tcPr>
          <w:p w14:paraId="1746DCDD" w14:textId="77777777" w:rsidR="002B4330" w:rsidRPr="00642163" w:rsidRDefault="002B4330" w:rsidP="007F7AA3">
            <w:pPr>
              <w:jc w:val="right"/>
            </w:pPr>
            <w:r w:rsidRPr="00642163">
              <w:t>Plus:  Net Collections of Delinquent Taxes</w:t>
            </w:r>
          </w:p>
        </w:tc>
        <w:tc>
          <w:tcPr>
            <w:tcW w:w="144" w:type="dxa"/>
          </w:tcPr>
          <w:p w14:paraId="1493CD0D" w14:textId="77777777" w:rsidR="002B4330" w:rsidRPr="00642163" w:rsidRDefault="002B4330" w:rsidP="007F7AA3"/>
        </w:tc>
        <w:tc>
          <w:tcPr>
            <w:tcW w:w="2275" w:type="dxa"/>
            <w:tcBorders>
              <w:bottom w:val="single" w:sz="4" w:space="0" w:color="auto"/>
            </w:tcBorders>
            <w:vAlign w:val="bottom"/>
          </w:tcPr>
          <w:p w14:paraId="052E1922" w14:textId="21955690" w:rsidR="002B4330" w:rsidRPr="00642163" w:rsidRDefault="00347A79" w:rsidP="00347A79">
            <w:pPr>
              <w:jc w:val="center"/>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44" w:type="dxa"/>
            <w:vAlign w:val="bottom"/>
          </w:tcPr>
          <w:p w14:paraId="5486E3AC" w14:textId="77777777" w:rsidR="002B4330" w:rsidRPr="002A5621" w:rsidRDefault="002B4330" w:rsidP="00347A79">
            <w:pPr>
              <w:jc w:val="center"/>
              <w:rPr>
                <w:sz w:val="18"/>
                <w:szCs w:val="18"/>
              </w:rPr>
            </w:pPr>
          </w:p>
        </w:tc>
        <w:tc>
          <w:tcPr>
            <w:tcW w:w="2275" w:type="dxa"/>
            <w:tcBorders>
              <w:bottom w:val="single" w:sz="4" w:space="0" w:color="auto"/>
            </w:tcBorders>
            <w:vAlign w:val="bottom"/>
          </w:tcPr>
          <w:p w14:paraId="55D931C6" w14:textId="6A1A2F60" w:rsidR="002B4330" w:rsidRPr="002A5621" w:rsidRDefault="00347A79" w:rsidP="00347A79">
            <w:pPr>
              <w:jc w:val="center"/>
              <w:rPr>
                <w:sz w:val="18"/>
                <w:szCs w:val="18"/>
              </w:rPr>
            </w:pPr>
            <w:r>
              <w:rPr>
                <w:sz w:val="18"/>
                <w:szCs w:val="18"/>
              </w:rPr>
              <w:fldChar w:fldCharType="begin">
                <w:ffData>
                  <w:name w:val="Text25"/>
                  <w:enabled/>
                  <w:calcOnExit w:val="0"/>
                  <w:textInput/>
                </w:ffData>
              </w:fldChar>
            </w:r>
            <w:bookmarkStart w:id="24"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2B4330" w:rsidRPr="002A5621" w14:paraId="580F2612" w14:textId="77777777" w:rsidTr="00347A79">
        <w:trPr>
          <w:jc w:val="center"/>
        </w:trPr>
        <w:tc>
          <w:tcPr>
            <w:tcW w:w="5270" w:type="dxa"/>
          </w:tcPr>
          <w:p w14:paraId="18852773" w14:textId="77777777" w:rsidR="002B4330" w:rsidRPr="00642163" w:rsidRDefault="002B4330" w:rsidP="007F7AA3">
            <w:pPr>
              <w:jc w:val="right"/>
            </w:pPr>
          </w:p>
        </w:tc>
        <w:tc>
          <w:tcPr>
            <w:tcW w:w="144" w:type="dxa"/>
          </w:tcPr>
          <w:p w14:paraId="47471FCC" w14:textId="77777777" w:rsidR="002B4330" w:rsidRPr="00642163" w:rsidRDefault="002B4330" w:rsidP="007F7AA3"/>
        </w:tc>
        <w:tc>
          <w:tcPr>
            <w:tcW w:w="2275" w:type="dxa"/>
            <w:tcBorders>
              <w:top w:val="single" w:sz="4" w:space="0" w:color="auto"/>
            </w:tcBorders>
            <w:vAlign w:val="bottom"/>
          </w:tcPr>
          <w:p w14:paraId="0E9BB7B8" w14:textId="77777777" w:rsidR="002B4330" w:rsidRPr="00642163" w:rsidRDefault="002B4330" w:rsidP="00347A79">
            <w:pPr>
              <w:jc w:val="center"/>
            </w:pPr>
          </w:p>
        </w:tc>
        <w:tc>
          <w:tcPr>
            <w:tcW w:w="144" w:type="dxa"/>
            <w:vAlign w:val="bottom"/>
          </w:tcPr>
          <w:p w14:paraId="06E3C2D2" w14:textId="77777777" w:rsidR="002B4330" w:rsidRPr="002A5621" w:rsidRDefault="002B4330" w:rsidP="00347A79">
            <w:pPr>
              <w:jc w:val="center"/>
              <w:rPr>
                <w:sz w:val="18"/>
                <w:szCs w:val="18"/>
              </w:rPr>
            </w:pPr>
          </w:p>
        </w:tc>
        <w:tc>
          <w:tcPr>
            <w:tcW w:w="2275" w:type="dxa"/>
            <w:tcBorders>
              <w:top w:val="single" w:sz="4" w:space="0" w:color="auto"/>
            </w:tcBorders>
            <w:vAlign w:val="bottom"/>
          </w:tcPr>
          <w:p w14:paraId="6AB5B5DF" w14:textId="77777777" w:rsidR="002B4330" w:rsidRPr="002A5621" w:rsidRDefault="002B4330" w:rsidP="00347A79">
            <w:pPr>
              <w:jc w:val="center"/>
              <w:rPr>
                <w:sz w:val="18"/>
                <w:szCs w:val="18"/>
              </w:rPr>
            </w:pPr>
          </w:p>
        </w:tc>
      </w:tr>
      <w:tr w:rsidR="002B4330" w:rsidRPr="002A5621" w14:paraId="55B550BB" w14:textId="77777777" w:rsidTr="00347A79">
        <w:trPr>
          <w:jc w:val="center"/>
        </w:trPr>
        <w:tc>
          <w:tcPr>
            <w:tcW w:w="5270" w:type="dxa"/>
          </w:tcPr>
          <w:p w14:paraId="58345642" w14:textId="77777777" w:rsidR="002B4330" w:rsidRPr="00642163" w:rsidRDefault="002B4330" w:rsidP="007F7AA3">
            <w:pPr>
              <w:jc w:val="right"/>
            </w:pPr>
            <w:r w:rsidRPr="00642163">
              <w:t>Plus:  Excess Local Consumption Tax Collected</w:t>
            </w:r>
          </w:p>
        </w:tc>
        <w:tc>
          <w:tcPr>
            <w:tcW w:w="144" w:type="dxa"/>
          </w:tcPr>
          <w:p w14:paraId="6ADDF405" w14:textId="77777777" w:rsidR="002B4330" w:rsidRPr="00642163" w:rsidRDefault="002B4330" w:rsidP="007F7AA3"/>
        </w:tc>
        <w:tc>
          <w:tcPr>
            <w:tcW w:w="2275" w:type="dxa"/>
            <w:tcBorders>
              <w:bottom w:val="single" w:sz="4" w:space="0" w:color="auto"/>
            </w:tcBorders>
            <w:vAlign w:val="bottom"/>
          </w:tcPr>
          <w:p w14:paraId="5FE7600C" w14:textId="0D8101D6" w:rsidR="002B4330" w:rsidRPr="00642163" w:rsidRDefault="00347A79" w:rsidP="00347A79">
            <w:pPr>
              <w:jc w:val="center"/>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44" w:type="dxa"/>
            <w:vAlign w:val="bottom"/>
          </w:tcPr>
          <w:p w14:paraId="4A5C8C7E" w14:textId="77777777" w:rsidR="002B4330" w:rsidRPr="002A5621" w:rsidRDefault="002B4330" w:rsidP="00347A79">
            <w:pPr>
              <w:jc w:val="center"/>
              <w:rPr>
                <w:sz w:val="18"/>
                <w:szCs w:val="18"/>
              </w:rPr>
            </w:pPr>
          </w:p>
        </w:tc>
        <w:tc>
          <w:tcPr>
            <w:tcW w:w="2275" w:type="dxa"/>
            <w:vAlign w:val="bottom"/>
          </w:tcPr>
          <w:p w14:paraId="5B869956" w14:textId="686CA631" w:rsidR="002B4330" w:rsidRPr="002A5621" w:rsidRDefault="002B4330" w:rsidP="00347A79">
            <w:pPr>
              <w:jc w:val="center"/>
              <w:rPr>
                <w:sz w:val="18"/>
                <w:szCs w:val="18"/>
              </w:rPr>
            </w:pPr>
          </w:p>
        </w:tc>
      </w:tr>
      <w:tr w:rsidR="002B4330" w:rsidRPr="002A5621" w14:paraId="16AC9985" w14:textId="77777777" w:rsidTr="00347A79">
        <w:trPr>
          <w:jc w:val="center"/>
        </w:trPr>
        <w:tc>
          <w:tcPr>
            <w:tcW w:w="5270" w:type="dxa"/>
          </w:tcPr>
          <w:p w14:paraId="27E703A1" w14:textId="77777777" w:rsidR="002B4330" w:rsidRPr="002A5621" w:rsidRDefault="002B4330" w:rsidP="007F7AA3">
            <w:pPr>
              <w:jc w:val="right"/>
              <w:rPr>
                <w:sz w:val="18"/>
                <w:szCs w:val="18"/>
              </w:rPr>
            </w:pPr>
            <w:r w:rsidRPr="001613B4">
              <w:rPr>
                <w:sz w:val="14"/>
                <w:szCs w:val="14"/>
              </w:rPr>
              <w:t xml:space="preserve">Pursuant to § 58.1-2901(F) </w:t>
            </w:r>
          </w:p>
        </w:tc>
        <w:tc>
          <w:tcPr>
            <w:tcW w:w="144" w:type="dxa"/>
          </w:tcPr>
          <w:p w14:paraId="64830E54" w14:textId="77777777" w:rsidR="002B4330" w:rsidRPr="002A5621" w:rsidRDefault="002B4330" w:rsidP="007F7AA3">
            <w:pPr>
              <w:rPr>
                <w:sz w:val="18"/>
                <w:szCs w:val="18"/>
              </w:rPr>
            </w:pPr>
          </w:p>
        </w:tc>
        <w:tc>
          <w:tcPr>
            <w:tcW w:w="2275" w:type="dxa"/>
            <w:tcBorders>
              <w:top w:val="single" w:sz="4" w:space="0" w:color="auto"/>
            </w:tcBorders>
            <w:vAlign w:val="bottom"/>
          </w:tcPr>
          <w:p w14:paraId="12C99A5D" w14:textId="77777777" w:rsidR="002B4330" w:rsidRPr="002A5621" w:rsidRDefault="002B4330" w:rsidP="00347A79">
            <w:pPr>
              <w:jc w:val="center"/>
              <w:rPr>
                <w:sz w:val="18"/>
                <w:szCs w:val="18"/>
              </w:rPr>
            </w:pPr>
          </w:p>
        </w:tc>
        <w:tc>
          <w:tcPr>
            <w:tcW w:w="144" w:type="dxa"/>
            <w:vAlign w:val="bottom"/>
          </w:tcPr>
          <w:p w14:paraId="5B33A033" w14:textId="77777777" w:rsidR="002B4330" w:rsidRPr="002A5621" w:rsidRDefault="002B4330" w:rsidP="00347A79">
            <w:pPr>
              <w:jc w:val="center"/>
              <w:rPr>
                <w:sz w:val="18"/>
                <w:szCs w:val="18"/>
              </w:rPr>
            </w:pPr>
          </w:p>
        </w:tc>
        <w:tc>
          <w:tcPr>
            <w:tcW w:w="2275" w:type="dxa"/>
            <w:vAlign w:val="bottom"/>
          </w:tcPr>
          <w:p w14:paraId="6695AA21" w14:textId="77777777" w:rsidR="002B4330" w:rsidRPr="002A5621" w:rsidRDefault="002B4330" w:rsidP="00347A79">
            <w:pPr>
              <w:jc w:val="center"/>
              <w:rPr>
                <w:sz w:val="18"/>
                <w:szCs w:val="18"/>
              </w:rPr>
            </w:pPr>
          </w:p>
        </w:tc>
      </w:tr>
      <w:tr w:rsidR="002B4330" w:rsidRPr="002A5621" w14:paraId="38FE8A3F" w14:textId="77777777" w:rsidTr="00347A79">
        <w:trPr>
          <w:jc w:val="center"/>
        </w:trPr>
        <w:tc>
          <w:tcPr>
            <w:tcW w:w="5270" w:type="dxa"/>
          </w:tcPr>
          <w:p w14:paraId="768A3B82" w14:textId="77777777" w:rsidR="002B4330" w:rsidRPr="00642163" w:rsidRDefault="002B4330" w:rsidP="007F7AA3">
            <w:pPr>
              <w:jc w:val="right"/>
              <w:rPr>
                <w:b/>
                <w:bCs/>
              </w:rPr>
            </w:pPr>
            <w:r w:rsidRPr="00642163">
              <w:rPr>
                <w:b/>
                <w:bCs/>
              </w:rPr>
              <w:t>Tax Remitted</w:t>
            </w:r>
          </w:p>
        </w:tc>
        <w:tc>
          <w:tcPr>
            <w:tcW w:w="144" w:type="dxa"/>
          </w:tcPr>
          <w:p w14:paraId="3019F346" w14:textId="77777777" w:rsidR="002B4330" w:rsidRPr="00642163" w:rsidRDefault="002B4330" w:rsidP="007F7AA3"/>
        </w:tc>
        <w:tc>
          <w:tcPr>
            <w:tcW w:w="2275" w:type="dxa"/>
            <w:tcBorders>
              <w:bottom w:val="single" w:sz="4" w:space="0" w:color="auto"/>
            </w:tcBorders>
            <w:vAlign w:val="bottom"/>
          </w:tcPr>
          <w:p w14:paraId="6E968072" w14:textId="7179C6A5" w:rsidR="002B4330" w:rsidRPr="002A5621" w:rsidRDefault="00347A79" w:rsidP="00347A79">
            <w:pPr>
              <w:jc w:val="center"/>
              <w:rPr>
                <w:sz w:val="18"/>
                <w:szCs w:val="18"/>
              </w:rPr>
            </w:pPr>
            <w:r>
              <w:rPr>
                <w:sz w:val="18"/>
                <w:szCs w:val="18"/>
              </w:rPr>
              <w:fldChar w:fldCharType="begin">
                <w:ffData>
                  <w:name w:val="Text28"/>
                  <w:enabled/>
                  <w:calcOnExit w:val="0"/>
                  <w:textInput/>
                </w:ffData>
              </w:fldChar>
            </w:r>
            <w:bookmarkStart w:id="26" w:name="Text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144" w:type="dxa"/>
            <w:vAlign w:val="bottom"/>
          </w:tcPr>
          <w:p w14:paraId="1ECA8236" w14:textId="77777777" w:rsidR="002B4330" w:rsidRPr="002A5621" w:rsidRDefault="002B4330" w:rsidP="00347A79">
            <w:pPr>
              <w:jc w:val="center"/>
              <w:rPr>
                <w:sz w:val="18"/>
                <w:szCs w:val="18"/>
              </w:rPr>
            </w:pPr>
          </w:p>
        </w:tc>
        <w:tc>
          <w:tcPr>
            <w:tcW w:w="2275" w:type="dxa"/>
            <w:tcBorders>
              <w:bottom w:val="single" w:sz="4" w:space="0" w:color="auto"/>
            </w:tcBorders>
            <w:vAlign w:val="bottom"/>
          </w:tcPr>
          <w:p w14:paraId="59F22190" w14:textId="68FF5442" w:rsidR="002B4330" w:rsidRPr="002A5621" w:rsidRDefault="00347A79" w:rsidP="00347A79">
            <w:pPr>
              <w:jc w:val="center"/>
              <w:rPr>
                <w:sz w:val="18"/>
                <w:szCs w:val="18"/>
              </w:rPr>
            </w:pPr>
            <w:r>
              <w:rPr>
                <w:sz w:val="18"/>
                <w:szCs w:val="18"/>
              </w:rPr>
              <w:fldChar w:fldCharType="begin">
                <w:ffData>
                  <w:name w:val="Text29"/>
                  <w:enabled/>
                  <w:calcOnExit w:val="0"/>
                  <w:textInput/>
                </w:ffData>
              </w:fldChar>
            </w:r>
            <w:bookmarkStart w:id="27"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r>
      <w:tr w:rsidR="002B4330" w:rsidRPr="002A5621" w14:paraId="39A1AF28" w14:textId="77777777" w:rsidTr="00347A79">
        <w:trPr>
          <w:jc w:val="center"/>
        </w:trPr>
        <w:tc>
          <w:tcPr>
            <w:tcW w:w="5270" w:type="dxa"/>
          </w:tcPr>
          <w:p w14:paraId="180A732C" w14:textId="77777777" w:rsidR="002B4330" w:rsidRPr="002A5621" w:rsidRDefault="002B4330" w:rsidP="007F7AA3">
            <w:pPr>
              <w:jc w:val="right"/>
              <w:rPr>
                <w:sz w:val="18"/>
                <w:szCs w:val="18"/>
              </w:rPr>
            </w:pPr>
          </w:p>
        </w:tc>
        <w:tc>
          <w:tcPr>
            <w:tcW w:w="144" w:type="dxa"/>
          </w:tcPr>
          <w:p w14:paraId="63F1221E" w14:textId="77777777" w:rsidR="002B4330" w:rsidRPr="002A5621" w:rsidRDefault="002B4330" w:rsidP="007F7AA3">
            <w:pPr>
              <w:rPr>
                <w:sz w:val="18"/>
                <w:szCs w:val="18"/>
              </w:rPr>
            </w:pPr>
          </w:p>
        </w:tc>
        <w:tc>
          <w:tcPr>
            <w:tcW w:w="2275" w:type="dxa"/>
            <w:tcBorders>
              <w:top w:val="single" w:sz="4" w:space="0" w:color="auto"/>
            </w:tcBorders>
            <w:vAlign w:val="bottom"/>
          </w:tcPr>
          <w:p w14:paraId="34B6CF83" w14:textId="77777777" w:rsidR="002B4330" w:rsidRPr="002A5621" w:rsidRDefault="002B4330" w:rsidP="00347A79">
            <w:pPr>
              <w:jc w:val="center"/>
              <w:rPr>
                <w:sz w:val="18"/>
                <w:szCs w:val="18"/>
              </w:rPr>
            </w:pPr>
          </w:p>
        </w:tc>
        <w:tc>
          <w:tcPr>
            <w:tcW w:w="144" w:type="dxa"/>
            <w:vAlign w:val="bottom"/>
          </w:tcPr>
          <w:p w14:paraId="64439CAB" w14:textId="77777777" w:rsidR="002B4330" w:rsidRPr="002A5621" w:rsidRDefault="002B4330" w:rsidP="00347A79">
            <w:pPr>
              <w:jc w:val="center"/>
              <w:rPr>
                <w:sz w:val="18"/>
                <w:szCs w:val="18"/>
              </w:rPr>
            </w:pPr>
          </w:p>
        </w:tc>
        <w:tc>
          <w:tcPr>
            <w:tcW w:w="2275" w:type="dxa"/>
            <w:tcBorders>
              <w:top w:val="single" w:sz="4" w:space="0" w:color="auto"/>
            </w:tcBorders>
            <w:vAlign w:val="bottom"/>
          </w:tcPr>
          <w:p w14:paraId="10DE4249" w14:textId="77777777" w:rsidR="002B4330" w:rsidRPr="002A5621" w:rsidRDefault="002B4330" w:rsidP="00347A79">
            <w:pPr>
              <w:jc w:val="center"/>
              <w:rPr>
                <w:sz w:val="18"/>
                <w:szCs w:val="18"/>
              </w:rPr>
            </w:pPr>
          </w:p>
        </w:tc>
      </w:tr>
      <w:tr w:rsidR="002B4330" w:rsidRPr="002A5621" w14:paraId="00058986" w14:textId="77777777" w:rsidTr="00347A79">
        <w:trPr>
          <w:jc w:val="center"/>
        </w:trPr>
        <w:tc>
          <w:tcPr>
            <w:tcW w:w="5270" w:type="dxa"/>
          </w:tcPr>
          <w:p w14:paraId="0AC953B2" w14:textId="77777777" w:rsidR="002B4330" w:rsidRPr="00642163" w:rsidRDefault="002B4330" w:rsidP="007F7AA3">
            <w:pPr>
              <w:jc w:val="right"/>
            </w:pPr>
            <w:r w:rsidRPr="00642163">
              <w:t>10% Penalty for Late Payment</w:t>
            </w:r>
          </w:p>
        </w:tc>
        <w:tc>
          <w:tcPr>
            <w:tcW w:w="144" w:type="dxa"/>
          </w:tcPr>
          <w:p w14:paraId="689C960C" w14:textId="77777777" w:rsidR="002B4330" w:rsidRPr="00642163" w:rsidRDefault="002B4330" w:rsidP="007F7AA3"/>
        </w:tc>
        <w:tc>
          <w:tcPr>
            <w:tcW w:w="2275" w:type="dxa"/>
            <w:tcBorders>
              <w:bottom w:val="single" w:sz="4" w:space="0" w:color="auto"/>
            </w:tcBorders>
            <w:vAlign w:val="bottom"/>
          </w:tcPr>
          <w:p w14:paraId="5A354803" w14:textId="1C55C433" w:rsidR="002B4330" w:rsidRPr="00642163" w:rsidRDefault="00347A79" w:rsidP="00347A79">
            <w:pPr>
              <w:jc w:val="center"/>
            </w:pPr>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44" w:type="dxa"/>
            <w:vAlign w:val="bottom"/>
          </w:tcPr>
          <w:p w14:paraId="49188C62" w14:textId="77777777" w:rsidR="002B4330" w:rsidRPr="002A5621" w:rsidRDefault="002B4330" w:rsidP="00347A79">
            <w:pPr>
              <w:jc w:val="center"/>
              <w:rPr>
                <w:sz w:val="18"/>
                <w:szCs w:val="18"/>
              </w:rPr>
            </w:pPr>
          </w:p>
        </w:tc>
        <w:tc>
          <w:tcPr>
            <w:tcW w:w="2275" w:type="dxa"/>
            <w:tcBorders>
              <w:bottom w:val="single" w:sz="4" w:space="0" w:color="auto"/>
            </w:tcBorders>
            <w:vAlign w:val="bottom"/>
          </w:tcPr>
          <w:p w14:paraId="4DCE57A7" w14:textId="6C71EA28" w:rsidR="002B4330" w:rsidRPr="002A5621" w:rsidRDefault="00347A79" w:rsidP="00347A79">
            <w:pPr>
              <w:jc w:val="center"/>
              <w:rPr>
                <w:sz w:val="18"/>
                <w:szCs w:val="18"/>
              </w:rPr>
            </w:pPr>
            <w:r>
              <w:rPr>
                <w:sz w:val="18"/>
                <w:szCs w:val="18"/>
              </w:rPr>
              <w:fldChar w:fldCharType="begin">
                <w:ffData>
                  <w:name w:val="Text31"/>
                  <w:enabled/>
                  <w:calcOnExit w:val="0"/>
                  <w:textInput/>
                </w:ffData>
              </w:fldChar>
            </w:r>
            <w:bookmarkStart w:id="29"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r>
      <w:tr w:rsidR="002B4330" w:rsidRPr="002A5621" w14:paraId="30DA5A8A" w14:textId="77777777" w:rsidTr="00347A79">
        <w:trPr>
          <w:jc w:val="center"/>
        </w:trPr>
        <w:tc>
          <w:tcPr>
            <w:tcW w:w="5270" w:type="dxa"/>
          </w:tcPr>
          <w:p w14:paraId="6F7983B6" w14:textId="77777777" w:rsidR="002B4330" w:rsidRPr="00642163" w:rsidRDefault="002B4330" w:rsidP="007F7AA3">
            <w:pPr>
              <w:jc w:val="right"/>
            </w:pPr>
          </w:p>
        </w:tc>
        <w:tc>
          <w:tcPr>
            <w:tcW w:w="144" w:type="dxa"/>
          </w:tcPr>
          <w:p w14:paraId="23BED980" w14:textId="77777777" w:rsidR="002B4330" w:rsidRPr="00642163" w:rsidRDefault="002B4330" w:rsidP="007F7AA3"/>
        </w:tc>
        <w:tc>
          <w:tcPr>
            <w:tcW w:w="2275" w:type="dxa"/>
            <w:tcBorders>
              <w:top w:val="single" w:sz="4" w:space="0" w:color="auto"/>
            </w:tcBorders>
            <w:vAlign w:val="bottom"/>
          </w:tcPr>
          <w:p w14:paraId="6BAAD8FE" w14:textId="77777777" w:rsidR="002B4330" w:rsidRPr="00642163" w:rsidRDefault="002B4330" w:rsidP="00347A79">
            <w:pPr>
              <w:jc w:val="center"/>
            </w:pPr>
          </w:p>
        </w:tc>
        <w:tc>
          <w:tcPr>
            <w:tcW w:w="144" w:type="dxa"/>
            <w:vAlign w:val="bottom"/>
          </w:tcPr>
          <w:p w14:paraId="14536BC8" w14:textId="77777777" w:rsidR="002B4330" w:rsidRPr="002A5621" w:rsidRDefault="002B4330" w:rsidP="00347A79">
            <w:pPr>
              <w:jc w:val="center"/>
              <w:rPr>
                <w:sz w:val="18"/>
                <w:szCs w:val="18"/>
              </w:rPr>
            </w:pPr>
          </w:p>
        </w:tc>
        <w:tc>
          <w:tcPr>
            <w:tcW w:w="2275" w:type="dxa"/>
            <w:tcBorders>
              <w:top w:val="single" w:sz="4" w:space="0" w:color="auto"/>
            </w:tcBorders>
            <w:vAlign w:val="bottom"/>
          </w:tcPr>
          <w:p w14:paraId="5F5A9386" w14:textId="77777777" w:rsidR="002B4330" w:rsidRPr="002A5621" w:rsidRDefault="002B4330" w:rsidP="00347A79">
            <w:pPr>
              <w:jc w:val="center"/>
              <w:rPr>
                <w:sz w:val="18"/>
                <w:szCs w:val="18"/>
              </w:rPr>
            </w:pPr>
          </w:p>
        </w:tc>
      </w:tr>
      <w:tr w:rsidR="002B4330" w:rsidRPr="002A5621" w14:paraId="772E7C53" w14:textId="77777777" w:rsidTr="00347A79">
        <w:trPr>
          <w:jc w:val="center"/>
        </w:trPr>
        <w:tc>
          <w:tcPr>
            <w:tcW w:w="5270" w:type="dxa"/>
          </w:tcPr>
          <w:p w14:paraId="43D03853" w14:textId="77777777" w:rsidR="002B4330" w:rsidRPr="00642163" w:rsidRDefault="002B4330" w:rsidP="007F7AA3">
            <w:pPr>
              <w:jc w:val="right"/>
              <w:rPr>
                <w:b/>
                <w:bCs/>
              </w:rPr>
            </w:pPr>
            <w:r w:rsidRPr="00642163">
              <w:rPr>
                <w:b/>
                <w:bCs/>
              </w:rPr>
              <w:t>Grand Total Remitted</w:t>
            </w:r>
          </w:p>
        </w:tc>
        <w:tc>
          <w:tcPr>
            <w:tcW w:w="144" w:type="dxa"/>
          </w:tcPr>
          <w:p w14:paraId="260D99FA" w14:textId="77777777" w:rsidR="002B4330" w:rsidRPr="00642163" w:rsidRDefault="002B4330" w:rsidP="007F7AA3"/>
        </w:tc>
        <w:tc>
          <w:tcPr>
            <w:tcW w:w="2275" w:type="dxa"/>
            <w:vAlign w:val="bottom"/>
          </w:tcPr>
          <w:p w14:paraId="72D8CCC8" w14:textId="77777777" w:rsidR="002B4330" w:rsidRPr="00642163" w:rsidRDefault="002B4330" w:rsidP="00347A79">
            <w:pPr>
              <w:jc w:val="center"/>
            </w:pPr>
          </w:p>
        </w:tc>
        <w:tc>
          <w:tcPr>
            <w:tcW w:w="144" w:type="dxa"/>
            <w:vAlign w:val="bottom"/>
          </w:tcPr>
          <w:p w14:paraId="02350102" w14:textId="77777777" w:rsidR="002B4330" w:rsidRPr="002A5621" w:rsidRDefault="002B4330" w:rsidP="00347A79">
            <w:pPr>
              <w:jc w:val="center"/>
              <w:rPr>
                <w:sz w:val="18"/>
                <w:szCs w:val="18"/>
              </w:rPr>
            </w:pPr>
          </w:p>
        </w:tc>
        <w:tc>
          <w:tcPr>
            <w:tcW w:w="2275" w:type="dxa"/>
            <w:tcBorders>
              <w:bottom w:val="double" w:sz="4" w:space="0" w:color="auto"/>
            </w:tcBorders>
            <w:vAlign w:val="bottom"/>
          </w:tcPr>
          <w:p w14:paraId="46745004" w14:textId="315D75AA" w:rsidR="002B4330" w:rsidRPr="0099582D" w:rsidRDefault="00347A79" w:rsidP="00347A79">
            <w:pPr>
              <w:jc w:val="center"/>
              <w:rPr>
                <w:b/>
                <w:bCs/>
                <w:sz w:val="18"/>
                <w:szCs w:val="18"/>
              </w:rPr>
            </w:pPr>
            <w:r w:rsidRPr="0099582D">
              <w:rPr>
                <w:b/>
                <w:bCs/>
                <w:sz w:val="18"/>
                <w:szCs w:val="18"/>
              </w:rPr>
              <w:fldChar w:fldCharType="begin">
                <w:ffData>
                  <w:name w:val="Text32"/>
                  <w:enabled/>
                  <w:calcOnExit w:val="0"/>
                  <w:textInput/>
                </w:ffData>
              </w:fldChar>
            </w:r>
            <w:bookmarkStart w:id="30" w:name="Text32"/>
            <w:r w:rsidRPr="0099582D">
              <w:rPr>
                <w:b/>
                <w:bCs/>
                <w:sz w:val="18"/>
                <w:szCs w:val="18"/>
              </w:rPr>
              <w:instrText xml:space="preserve"> FORMTEXT </w:instrText>
            </w:r>
            <w:r w:rsidRPr="0099582D">
              <w:rPr>
                <w:b/>
                <w:bCs/>
                <w:sz w:val="18"/>
                <w:szCs w:val="18"/>
              </w:rPr>
            </w:r>
            <w:r w:rsidRPr="0099582D">
              <w:rPr>
                <w:b/>
                <w:bCs/>
                <w:sz w:val="18"/>
                <w:szCs w:val="18"/>
              </w:rPr>
              <w:fldChar w:fldCharType="separate"/>
            </w:r>
            <w:r w:rsidRPr="0099582D">
              <w:rPr>
                <w:b/>
                <w:bCs/>
                <w:noProof/>
                <w:sz w:val="18"/>
                <w:szCs w:val="18"/>
              </w:rPr>
              <w:t> </w:t>
            </w:r>
            <w:r w:rsidRPr="0099582D">
              <w:rPr>
                <w:b/>
                <w:bCs/>
                <w:noProof/>
                <w:sz w:val="18"/>
                <w:szCs w:val="18"/>
              </w:rPr>
              <w:t> </w:t>
            </w:r>
            <w:r w:rsidRPr="0099582D">
              <w:rPr>
                <w:b/>
                <w:bCs/>
                <w:noProof/>
                <w:sz w:val="18"/>
                <w:szCs w:val="18"/>
              </w:rPr>
              <w:t> </w:t>
            </w:r>
            <w:r w:rsidRPr="0099582D">
              <w:rPr>
                <w:b/>
                <w:bCs/>
                <w:noProof/>
                <w:sz w:val="18"/>
                <w:szCs w:val="18"/>
              </w:rPr>
              <w:t> </w:t>
            </w:r>
            <w:r w:rsidRPr="0099582D">
              <w:rPr>
                <w:b/>
                <w:bCs/>
                <w:noProof/>
                <w:sz w:val="18"/>
                <w:szCs w:val="18"/>
              </w:rPr>
              <w:t> </w:t>
            </w:r>
            <w:r w:rsidRPr="0099582D">
              <w:rPr>
                <w:b/>
                <w:bCs/>
                <w:sz w:val="18"/>
                <w:szCs w:val="18"/>
              </w:rPr>
              <w:fldChar w:fldCharType="end"/>
            </w:r>
            <w:bookmarkEnd w:id="30"/>
          </w:p>
        </w:tc>
      </w:tr>
      <w:tr w:rsidR="002B4330" w:rsidRPr="002A5621" w14:paraId="2E631846" w14:textId="77777777" w:rsidTr="00642163">
        <w:trPr>
          <w:jc w:val="center"/>
        </w:trPr>
        <w:tc>
          <w:tcPr>
            <w:tcW w:w="5270" w:type="dxa"/>
          </w:tcPr>
          <w:p w14:paraId="32CECD0B" w14:textId="77777777" w:rsidR="002B4330" w:rsidRPr="002A5621" w:rsidRDefault="002B4330" w:rsidP="007F7AA3">
            <w:pPr>
              <w:jc w:val="right"/>
              <w:rPr>
                <w:b/>
                <w:bCs/>
                <w:sz w:val="18"/>
                <w:szCs w:val="18"/>
              </w:rPr>
            </w:pPr>
          </w:p>
        </w:tc>
        <w:tc>
          <w:tcPr>
            <w:tcW w:w="144" w:type="dxa"/>
          </w:tcPr>
          <w:p w14:paraId="429CE009" w14:textId="77777777" w:rsidR="002B4330" w:rsidRPr="002A5621" w:rsidRDefault="002B4330" w:rsidP="007F7AA3">
            <w:pPr>
              <w:rPr>
                <w:sz w:val="18"/>
                <w:szCs w:val="18"/>
              </w:rPr>
            </w:pPr>
          </w:p>
        </w:tc>
        <w:tc>
          <w:tcPr>
            <w:tcW w:w="2275" w:type="dxa"/>
          </w:tcPr>
          <w:p w14:paraId="174B8639" w14:textId="77777777" w:rsidR="002B4330" w:rsidRPr="002A5621" w:rsidRDefault="002B4330" w:rsidP="007F7AA3">
            <w:pPr>
              <w:rPr>
                <w:sz w:val="18"/>
                <w:szCs w:val="18"/>
              </w:rPr>
            </w:pPr>
          </w:p>
        </w:tc>
        <w:tc>
          <w:tcPr>
            <w:tcW w:w="144" w:type="dxa"/>
          </w:tcPr>
          <w:p w14:paraId="47690116" w14:textId="77777777" w:rsidR="002B4330" w:rsidRPr="002A5621" w:rsidRDefault="002B4330" w:rsidP="007F7AA3">
            <w:pPr>
              <w:rPr>
                <w:sz w:val="18"/>
                <w:szCs w:val="18"/>
              </w:rPr>
            </w:pPr>
          </w:p>
        </w:tc>
        <w:tc>
          <w:tcPr>
            <w:tcW w:w="2275" w:type="dxa"/>
            <w:tcBorders>
              <w:top w:val="double" w:sz="4" w:space="0" w:color="auto"/>
            </w:tcBorders>
          </w:tcPr>
          <w:p w14:paraId="225B94AB" w14:textId="77777777" w:rsidR="002B4330" w:rsidRPr="002A5621" w:rsidRDefault="002B4330" w:rsidP="007F7AA3">
            <w:pPr>
              <w:rPr>
                <w:sz w:val="18"/>
                <w:szCs w:val="18"/>
              </w:rPr>
            </w:pPr>
          </w:p>
        </w:tc>
      </w:tr>
    </w:tbl>
    <w:p w14:paraId="201B023A" w14:textId="77777777" w:rsidR="002B4330" w:rsidRDefault="002B4330" w:rsidP="00EA0974">
      <w:pPr>
        <w:pStyle w:val="Subtitle"/>
        <w:ind w:left="-720" w:right="-720"/>
        <w:rPr>
          <w:sz w:val="16"/>
        </w:rPr>
      </w:pPr>
      <w:r w:rsidRPr="001613B4">
        <w:rPr>
          <w:sz w:val="16"/>
        </w:rPr>
        <w:t xml:space="preserve">*If the Consumption Tax computed above includes amounts submitted by Municipal Electric Companies, please attach a separate addendum showing </w:t>
      </w:r>
    </w:p>
    <w:p w14:paraId="47313DA4" w14:textId="38B08C09" w:rsidR="002B4330" w:rsidRDefault="002B4330" w:rsidP="00EA0974">
      <w:pPr>
        <w:pStyle w:val="Subtitle"/>
        <w:ind w:left="-720" w:right="-720"/>
        <w:rPr>
          <w:sz w:val="16"/>
        </w:rPr>
      </w:pPr>
      <w:r>
        <w:rPr>
          <w:sz w:val="16"/>
        </w:rPr>
        <w:t>e</w:t>
      </w:r>
      <w:r w:rsidRPr="001613B4">
        <w:rPr>
          <w:sz w:val="16"/>
        </w:rPr>
        <w:t>ach</w:t>
      </w:r>
      <w:r>
        <w:rPr>
          <w:sz w:val="16"/>
        </w:rPr>
        <w:t xml:space="preserve"> </w:t>
      </w:r>
      <w:r w:rsidRPr="001613B4">
        <w:rPr>
          <w:sz w:val="16"/>
        </w:rPr>
        <w:t>amount by locality and tiers as provided by the Municipals.  (Responsibility of accuracy of information rests with the Municipals.)</w:t>
      </w:r>
    </w:p>
    <w:p w14:paraId="447CEADD" w14:textId="074B0511" w:rsidR="006D65F1" w:rsidRDefault="006D65F1" w:rsidP="00EA0974">
      <w:pPr>
        <w:pStyle w:val="Subtitle"/>
        <w:ind w:left="-720" w:right="-720"/>
        <w:rPr>
          <w:sz w:val="16"/>
        </w:rPr>
      </w:pPr>
    </w:p>
    <w:p w14:paraId="640E1C6A" w14:textId="0C64F40A" w:rsidR="006D65F1" w:rsidRDefault="006D65F1" w:rsidP="00EA0974">
      <w:pPr>
        <w:pStyle w:val="Subtitle"/>
        <w:ind w:left="-720" w:right="-720"/>
        <w:rPr>
          <w:sz w:val="16"/>
        </w:rPr>
      </w:pPr>
    </w:p>
    <w:p w14:paraId="17F2DBD5" w14:textId="4F355ECB" w:rsidR="006D65F1" w:rsidRDefault="006D65F1" w:rsidP="00EA0974">
      <w:pPr>
        <w:pStyle w:val="Subtitle"/>
        <w:ind w:left="-720" w:right="-720"/>
        <w:rPr>
          <w:b w:val="0"/>
          <w:bCs/>
        </w:rPr>
      </w:pPr>
      <w:r w:rsidRPr="006D65F1">
        <w:rPr>
          <w:b w:val="0"/>
          <w:bCs/>
        </w:rPr>
        <w:t xml:space="preserve">I, </w:t>
      </w:r>
      <w:r w:rsidRPr="00A7545D">
        <w:rPr>
          <w:b w:val="0"/>
          <w:bCs/>
          <w:u w:val="single"/>
        </w:rPr>
        <w:fldChar w:fldCharType="begin">
          <w:ffData>
            <w:name w:val="Text37"/>
            <w:enabled/>
            <w:calcOnExit w:val="0"/>
            <w:textInput>
              <w:default w:val="(Name, Title)"/>
            </w:textInput>
          </w:ffData>
        </w:fldChar>
      </w:r>
      <w:bookmarkStart w:id="31" w:name="Text37"/>
      <w:r w:rsidRPr="00A7545D">
        <w:rPr>
          <w:b w:val="0"/>
          <w:bCs/>
          <w:u w:val="single"/>
        </w:rPr>
        <w:instrText xml:space="preserve"> FORMTEXT </w:instrText>
      </w:r>
      <w:r w:rsidRPr="00A7545D">
        <w:rPr>
          <w:b w:val="0"/>
          <w:bCs/>
          <w:u w:val="single"/>
        </w:rPr>
      </w:r>
      <w:r w:rsidRPr="00A7545D">
        <w:rPr>
          <w:b w:val="0"/>
          <w:bCs/>
          <w:u w:val="single"/>
        </w:rPr>
        <w:fldChar w:fldCharType="separate"/>
      </w:r>
      <w:r w:rsidRPr="00A7545D">
        <w:rPr>
          <w:b w:val="0"/>
          <w:bCs/>
          <w:noProof/>
          <w:u w:val="single"/>
        </w:rPr>
        <w:t>(Name, Title)</w:t>
      </w:r>
      <w:r w:rsidRPr="00A7545D">
        <w:rPr>
          <w:b w:val="0"/>
          <w:bCs/>
          <w:u w:val="single"/>
        </w:rPr>
        <w:fldChar w:fldCharType="end"/>
      </w:r>
      <w:bookmarkEnd w:id="31"/>
      <w:r>
        <w:rPr>
          <w:b w:val="0"/>
          <w:bCs/>
        </w:rPr>
        <w:t xml:space="preserve"> of the corporation named above, on oath, do say that this return has been prepared</w:t>
      </w:r>
    </w:p>
    <w:p w14:paraId="1FD6461F" w14:textId="22717762" w:rsidR="006D65F1" w:rsidRDefault="006D65F1" w:rsidP="00EA0974">
      <w:pPr>
        <w:pStyle w:val="Subtitle"/>
        <w:ind w:left="-720" w:right="-720"/>
        <w:rPr>
          <w:b w:val="0"/>
          <w:bCs/>
        </w:rPr>
      </w:pPr>
      <w:r>
        <w:rPr>
          <w:b w:val="0"/>
          <w:bCs/>
        </w:rPr>
        <w:t>from the original records of the company, that I have read it, and that it is true to the best of my knowledge, information, and belief.</w:t>
      </w:r>
    </w:p>
    <w:p w14:paraId="23A6C82C" w14:textId="1CD66D0A" w:rsidR="006D65F1" w:rsidRPr="006D65F1" w:rsidRDefault="006D65F1" w:rsidP="00EA0974">
      <w:pPr>
        <w:pStyle w:val="Subtitle"/>
        <w:ind w:left="-720" w:right="-720"/>
        <w:rPr>
          <w:b w:val="0"/>
          <w:bCs/>
        </w:rPr>
      </w:pPr>
      <w:r>
        <w:rPr>
          <w:b w:val="0"/>
          <w:bCs/>
        </w:rPr>
        <w:t xml:space="preserve">Date: </w:t>
      </w:r>
      <w:r w:rsidRPr="006D65F1">
        <w:rPr>
          <w:b w:val="0"/>
          <w:bCs/>
          <w:u w:val="single"/>
        </w:rPr>
        <w:fldChar w:fldCharType="begin">
          <w:ffData>
            <w:name w:val="Text38"/>
            <w:enabled/>
            <w:calcOnExit w:val="0"/>
            <w:textInput/>
          </w:ffData>
        </w:fldChar>
      </w:r>
      <w:bookmarkStart w:id="32" w:name="Text38"/>
      <w:r w:rsidRPr="006D65F1">
        <w:rPr>
          <w:b w:val="0"/>
          <w:bCs/>
          <w:u w:val="single"/>
        </w:rPr>
        <w:instrText xml:space="preserve"> FORMTEXT </w:instrText>
      </w:r>
      <w:r w:rsidRPr="006D65F1">
        <w:rPr>
          <w:b w:val="0"/>
          <w:bCs/>
          <w:u w:val="single"/>
        </w:rPr>
      </w:r>
      <w:r w:rsidRPr="006D65F1">
        <w:rPr>
          <w:b w:val="0"/>
          <w:bCs/>
          <w:u w:val="single"/>
        </w:rPr>
        <w:fldChar w:fldCharType="separate"/>
      </w:r>
      <w:r w:rsidRPr="006D65F1">
        <w:rPr>
          <w:b w:val="0"/>
          <w:bCs/>
          <w:noProof/>
          <w:u w:val="single"/>
        </w:rPr>
        <w:t> </w:t>
      </w:r>
      <w:r w:rsidRPr="006D65F1">
        <w:rPr>
          <w:b w:val="0"/>
          <w:bCs/>
          <w:noProof/>
          <w:u w:val="single"/>
        </w:rPr>
        <w:t> </w:t>
      </w:r>
      <w:r w:rsidRPr="006D65F1">
        <w:rPr>
          <w:b w:val="0"/>
          <w:bCs/>
          <w:noProof/>
          <w:u w:val="single"/>
        </w:rPr>
        <w:t> </w:t>
      </w:r>
      <w:r w:rsidRPr="006D65F1">
        <w:rPr>
          <w:b w:val="0"/>
          <w:bCs/>
          <w:noProof/>
          <w:u w:val="single"/>
        </w:rPr>
        <w:t> </w:t>
      </w:r>
      <w:r w:rsidRPr="006D65F1">
        <w:rPr>
          <w:b w:val="0"/>
          <w:bCs/>
          <w:noProof/>
          <w:u w:val="single"/>
        </w:rPr>
        <w:t> </w:t>
      </w:r>
      <w:r w:rsidRPr="006D65F1">
        <w:rPr>
          <w:b w:val="0"/>
          <w:bCs/>
          <w:u w:val="single"/>
        </w:rPr>
        <w:fldChar w:fldCharType="end"/>
      </w:r>
      <w:bookmarkEnd w:id="32"/>
      <w:r>
        <w:rPr>
          <w:b w:val="0"/>
          <w:bCs/>
        </w:rPr>
        <w:t xml:space="preserve">  Telephone Number:  </w:t>
      </w:r>
      <w:r w:rsidRPr="006D65F1">
        <w:rPr>
          <w:b w:val="0"/>
          <w:bCs/>
          <w:u w:val="single"/>
        </w:rPr>
        <w:fldChar w:fldCharType="begin">
          <w:ffData>
            <w:name w:val="Text39"/>
            <w:enabled/>
            <w:calcOnExit w:val="0"/>
            <w:textInput/>
          </w:ffData>
        </w:fldChar>
      </w:r>
      <w:bookmarkStart w:id="33" w:name="Text39"/>
      <w:r w:rsidRPr="006D65F1">
        <w:rPr>
          <w:b w:val="0"/>
          <w:bCs/>
          <w:u w:val="single"/>
        </w:rPr>
        <w:instrText xml:space="preserve"> FORMTEXT </w:instrText>
      </w:r>
      <w:r w:rsidRPr="006D65F1">
        <w:rPr>
          <w:b w:val="0"/>
          <w:bCs/>
          <w:u w:val="single"/>
        </w:rPr>
      </w:r>
      <w:r w:rsidRPr="006D65F1">
        <w:rPr>
          <w:b w:val="0"/>
          <w:bCs/>
          <w:u w:val="single"/>
        </w:rPr>
        <w:fldChar w:fldCharType="separate"/>
      </w:r>
      <w:r w:rsidRPr="006D65F1">
        <w:rPr>
          <w:b w:val="0"/>
          <w:bCs/>
          <w:noProof/>
          <w:u w:val="single"/>
        </w:rPr>
        <w:t> </w:t>
      </w:r>
      <w:r w:rsidRPr="006D65F1">
        <w:rPr>
          <w:b w:val="0"/>
          <w:bCs/>
          <w:noProof/>
          <w:u w:val="single"/>
        </w:rPr>
        <w:t> </w:t>
      </w:r>
      <w:r w:rsidRPr="006D65F1">
        <w:rPr>
          <w:b w:val="0"/>
          <w:bCs/>
          <w:noProof/>
          <w:u w:val="single"/>
        </w:rPr>
        <w:t> </w:t>
      </w:r>
      <w:r w:rsidRPr="006D65F1">
        <w:rPr>
          <w:b w:val="0"/>
          <w:bCs/>
          <w:noProof/>
          <w:u w:val="single"/>
        </w:rPr>
        <w:t> </w:t>
      </w:r>
      <w:r w:rsidRPr="006D65F1">
        <w:rPr>
          <w:b w:val="0"/>
          <w:bCs/>
          <w:noProof/>
          <w:u w:val="single"/>
        </w:rPr>
        <w:t> </w:t>
      </w:r>
      <w:r w:rsidRPr="006D65F1">
        <w:rPr>
          <w:b w:val="0"/>
          <w:bCs/>
          <w:u w:val="single"/>
        </w:rPr>
        <w:fldChar w:fldCharType="end"/>
      </w:r>
      <w:bookmarkEnd w:id="33"/>
      <w:r>
        <w:rPr>
          <w:b w:val="0"/>
          <w:bCs/>
        </w:rPr>
        <w:t xml:space="preserve">  Email Address:  </w:t>
      </w:r>
      <w:r w:rsidRPr="006D65F1">
        <w:rPr>
          <w:b w:val="0"/>
          <w:bCs/>
          <w:u w:val="single"/>
        </w:rPr>
        <w:fldChar w:fldCharType="begin">
          <w:ffData>
            <w:name w:val="Text40"/>
            <w:enabled/>
            <w:calcOnExit w:val="0"/>
            <w:textInput/>
          </w:ffData>
        </w:fldChar>
      </w:r>
      <w:bookmarkStart w:id="34" w:name="Text40"/>
      <w:r w:rsidRPr="006D65F1">
        <w:rPr>
          <w:b w:val="0"/>
          <w:bCs/>
          <w:u w:val="single"/>
        </w:rPr>
        <w:instrText xml:space="preserve"> FORMTEXT </w:instrText>
      </w:r>
      <w:r w:rsidRPr="006D65F1">
        <w:rPr>
          <w:b w:val="0"/>
          <w:bCs/>
          <w:u w:val="single"/>
        </w:rPr>
      </w:r>
      <w:r w:rsidRPr="006D65F1">
        <w:rPr>
          <w:b w:val="0"/>
          <w:bCs/>
          <w:u w:val="single"/>
        </w:rPr>
        <w:fldChar w:fldCharType="separate"/>
      </w:r>
      <w:r w:rsidRPr="006D65F1">
        <w:rPr>
          <w:b w:val="0"/>
          <w:bCs/>
          <w:noProof/>
          <w:u w:val="single"/>
        </w:rPr>
        <w:t> </w:t>
      </w:r>
      <w:r w:rsidRPr="006D65F1">
        <w:rPr>
          <w:b w:val="0"/>
          <w:bCs/>
          <w:noProof/>
          <w:u w:val="single"/>
        </w:rPr>
        <w:t> </w:t>
      </w:r>
      <w:r w:rsidRPr="006D65F1">
        <w:rPr>
          <w:b w:val="0"/>
          <w:bCs/>
          <w:noProof/>
          <w:u w:val="single"/>
        </w:rPr>
        <w:t> </w:t>
      </w:r>
      <w:r w:rsidRPr="006D65F1">
        <w:rPr>
          <w:b w:val="0"/>
          <w:bCs/>
          <w:noProof/>
          <w:u w:val="single"/>
        </w:rPr>
        <w:t> </w:t>
      </w:r>
      <w:r w:rsidRPr="006D65F1">
        <w:rPr>
          <w:b w:val="0"/>
          <w:bCs/>
          <w:noProof/>
          <w:u w:val="single"/>
        </w:rPr>
        <w:t> </w:t>
      </w:r>
      <w:r w:rsidRPr="006D65F1">
        <w:rPr>
          <w:b w:val="0"/>
          <w:bCs/>
          <w:u w:val="single"/>
        </w:rPr>
        <w:fldChar w:fldCharType="end"/>
      </w:r>
      <w:bookmarkEnd w:id="34"/>
    </w:p>
    <w:p w14:paraId="0DD4D308" w14:textId="77777777" w:rsidR="006D65F1" w:rsidRPr="00EA0974" w:rsidRDefault="006D65F1" w:rsidP="00EA0974">
      <w:pPr>
        <w:ind w:left="-720" w:right="-720"/>
        <w:jc w:val="center"/>
      </w:pPr>
    </w:p>
    <w:p w14:paraId="4358AF1E" w14:textId="0E988FE4" w:rsidR="002B4330" w:rsidRPr="00C67238" w:rsidRDefault="002B4330" w:rsidP="00EA0974">
      <w:pPr>
        <w:ind w:left="-720" w:right="-720"/>
        <w:jc w:val="center"/>
        <w:rPr>
          <w:b/>
          <w:bCs/>
        </w:rPr>
      </w:pPr>
      <w:r w:rsidRPr="00C67238">
        <w:rPr>
          <w:b/>
          <w:bCs/>
        </w:rPr>
        <w:t xml:space="preserve">This form must be returned with your remittance on or before the last day of the succeeding month of collection. </w:t>
      </w:r>
    </w:p>
    <w:p w14:paraId="3C42D75C" w14:textId="77777777" w:rsidR="002B4330" w:rsidRPr="00C67238" w:rsidRDefault="002B4330" w:rsidP="00EA0974">
      <w:pPr>
        <w:ind w:left="-720" w:right="-720"/>
        <w:jc w:val="center"/>
        <w:rPr>
          <w:b/>
          <w:bCs/>
        </w:rPr>
      </w:pPr>
      <w:r w:rsidRPr="00C67238">
        <w:rPr>
          <w:b/>
          <w:bCs/>
        </w:rPr>
        <w:t>Failure to remit timely will result in a ten percent penalty</w:t>
      </w:r>
      <w:r>
        <w:rPr>
          <w:b/>
          <w:bCs/>
        </w:rPr>
        <w:t xml:space="preserve"> pursuant to § 58.1-2901(C).</w:t>
      </w:r>
    </w:p>
    <w:p w14:paraId="6B4CA682" w14:textId="77777777" w:rsidR="002B4330" w:rsidRDefault="002B4330" w:rsidP="00EA0974">
      <w:pPr>
        <w:ind w:left="-720" w:right="-720"/>
        <w:jc w:val="center"/>
      </w:pPr>
    </w:p>
    <w:p w14:paraId="769CAB01" w14:textId="77777777" w:rsidR="002B4330" w:rsidRDefault="002B4330" w:rsidP="00EA0974">
      <w:pPr>
        <w:ind w:left="-720" w:right="-720"/>
        <w:jc w:val="center"/>
      </w:pPr>
      <w:r>
        <w:t xml:space="preserve">Make checks payable to </w:t>
      </w:r>
      <w:r w:rsidRPr="00C67238">
        <w:rPr>
          <w:b/>
          <w:bCs/>
        </w:rPr>
        <w:t>TREASURER OF VIRGINIA</w:t>
      </w:r>
      <w:r>
        <w:t xml:space="preserve"> and send with this form to:</w:t>
      </w:r>
    </w:p>
    <w:p w14:paraId="73594736" w14:textId="77777777" w:rsidR="002B4330" w:rsidRPr="00C67238" w:rsidRDefault="002B4330" w:rsidP="00EA0974">
      <w:pPr>
        <w:ind w:left="-720" w:right="-720"/>
        <w:jc w:val="center"/>
        <w:rPr>
          <w:b/>
          <w:bCs/>
        </w:rPr>
      </w:pPr>
      <w:r w:rsidRPr="00C67238">
        <w:rPr>
          <w:b/>
          <w:bCs/>
        </w:rPr>
        <w:t>STATE CORPORATION COMMISSION, PUBLIC SERVICE TAXATION DIVISION</w:t>
      </w:r>
    </w:p>
    <w:p w14:paraId="430DDA94" w14:textId="5FA71D4E" w:rsidR="002B4330" w:rsidRDefault="002B4330" w:rsidP="00EA0974">
      <w:pPr>
        <w:ind w:left="-720" w:right="-720"/>
        <w:jc w:val="center"/>
        <w:rPr>
          <w:b/>
          <w:bCs/>
        </w:rPr>
      </w:pPr>
      <w:r w:rsidRPr="00C67238">
        <w:rPr>
          <w:b/>
          <w:bCs/>
        </w:rPr>
        <w:t>P.O. BOX 1197, RICHMOND, VA 23218</w:t>
      </w:r>
    </w:p>
    <w:p w14:paraId="514EF4C5" w14:textId="77777777" w:rsidR="00EA0974" w:rsidRPr="00EA0974" w:rsidRDefault="00EA0974" w:rsidP="002B4330">
      <w:pPr>
        <w:ind w:left="-720" w:right="-720"/>
        <w:jc w:val="center"/>
      </w:pPr>
    </w:p>
    <w:p w14:paraId="3F8E4CCE" w14:textId="37EFE3EC" w:rsidR="00070065" w:rsidRPr="00EA0974" w:rsidRDefault="00070065">
      <w:pPr>
        <w:pStyle w:val="Subtitle"/>
        <w:jc w:val="left"/>
        <w:rPr>
          <w:b w:val="0"/>
          <w:sz w:val="16"/>
          <w:szCs w:val="16"/>
        </w:rPr>
      </w:pPr>
      <w:r w:rsidRPr="00EA0974">
        <w:rPr>
          <w:b w:val="0"/>
          <w:sz w:val="16"/>
          <w:szCs w:val="16"/>
        </w:rPr>
        <w:t>CCTD-EUCT-</w:t>
      </w:r>
      <w:r w:rsidR="004478AB" w:rsidRPr="00EA0974">
        <w:rPr>
          <w:b w:val="0"/>
          <w:sz w:val="16"/>
          <w:szCs w:val="16"/>
        </w:rPr>
        <w:t>01/2</w:t>
      </w:r>
      <w:r w:rsidR="00757B25" w:rsidRPr="00EA0974">
        <w:rPr>
          <w:b w:val="0"/>
          <w:sz w:val="16"/>
          <w:szCs w:val="16"/>
        </w:rPr>
        <w:t>4</w:t>
      </w:r>
    </w:p>
    <w:p w14:paraId="1FAFC836" w14:textId="4A027E48" w:rsidR="00C1515D" w:rsidRDefault="00C1515D" w:rsidP="008B38CD">
      <w:pPr>
        <w:pStyle w:val="Header"/>
        <w:rPr>
          <w:b/>
          <w:sz w:val="16"/>
          <w:lang w:val="en-US"/>
        </w:rPr>
        <w:sectPr w:rsidR="00C1515D" w:rsidSect="007A1672">
          <w:headerReference w:type="even" r:id="rId11"/>
          <w:headerReference w:type="default" r:id="rId12"/>
          <w:footerReference w:type="even" r:id="rId13"/>
          <w:footerReference w:type="default" r:id="rId14"/>
          <w:headerReference w:type="first" r:id="rId15"/>
          <w:footerReference w:type="first" r:id="rId16"/>
          <w:pgSz w:w="12240" w:h="15840"/>
          <w:pgMar w:top="288" w:right="720" w:bottom="0" w:left="720" w:header="0" w:footer="0" w:gutter="0"/>
          <w:cols w:space="720"/>
          <w:docGrid w:linePitch="272"/>
        </w:sectPr>
      </w:pPr>
    </w:p>
    <w:p w14:paraId="35A08E85" w14:textId="0D4C04EF" w:rsidR="00C1515D" w:rsidRDefault="00C1515D">
      <w:pPr>
        <w:pStyle w:val="Header"/>
        <w:jc w:val="center"/>
        <w:rPr>
          <w:b/>
          <w:sz w:val="16"/>
        </w:rPr>
      </w:pPr>
      <w:bookmarkStart w:id="35" w:name="_Hlk155169249"/>
      <w:r>
        <w:rPr>
          <w:b/>
          <w:sz w:val="16"/>
        </w:rPr>
        <w:lastRenderedPageBreak/>
        <w:t>ELECTRIC UTILITY CONSUMPTION TAX</w:t>
      </w:r>
    </w:p>
    <w:p w14:paraId="6B88420E" w14:textId="77777777" w:rsidR="00C1515D" w:rsidRDefault="00C1515D">
      <w:pPr>
        <w:pStyle w:val="Header"/>
        <w:jc w:val="center"/>
        <w:rPr>
          <w:b/>
          <w:sz w:val="16"/>
          <w:lang w:val="en-US"/>
        </w:rPr>
      </w:pPr>
      <w:r>
        <w:rPr>
          <w:b/>
          <w:sz w:val="16"/>
        </w:rPr>
        <w:t>§§ 58.1-2900—2903 of the Code of Virginia</w:t>
      </w:r>
    </w:p>
    <w:p w14:paraId="655B06B3" w14:textId="77777777" w:rsidR="00C1515D" w:rsidRDefault="00C1515D">
      <w:pPr>
        <w:pStyle w:val="Header"/>
        <w:jc w:val="center"/>
        <w:rPr>
          <w:lang w:val="en-US"/>
        </w:rPr>
      </w:pPr>
    </w:p>
    <w:p w14:paraId="701CE55B" w14:textId="77777777" w:rsidR="00C1515D" w:rsidRDefault="00C1515D">
      <w:pPr>
        <w:pStyle w:val="Header"/>
        <w:jc w:val="center"/>
        <w:rPr>
          <w:lang w:val="en-US"/>
        </w:rPr>
        <w:sectPr w:rsidR="00C1515D">
          <w:pgSz w:w="12240" w:h="15840"/>
          <w:pgMar w:top="450" w:right="360" w:bottom="302" w:left="360" w:header="0" w:footer="720" w:gutter="0"/>
          <w:cols w:space="720"/>
        </w:sectPr>
      </w:pPr>
    </w:p>
    <w:p w14:paraId="1F97B638" w14:textId="77777777" w:rsidR="00C1515D" w:rsidRDefault="00C1515D">
      <w:pPr>
        <w:jc w:val="both"/>
        <w:rPr>
          <w:b/>
          <w:sz w:val="14"/>
          <w:lang w:val="en-US"/>
        </w:rPr>
      </w:pPr>
    </w:p>
    <w:p w14:paraId="1A363406" w14:textId="77777777" w:rsidR="00C1515D" w:rsidRDefault="00C1515D">
      <w:pPr>
        <w:jc w:val="both"/>
        <w:rPr>
          <w:b/>
          <w:sz w:val="14"/>
          <w:lang w:val="en-US"/>
        </w:rPr>
      </w:pPr>
    </w:p>
    <w:p w14:paraId="2C768E11" w14:textId="77777777" w:rsidR="00C1515D" w:rsidRDefault="00C1515D">
      <w:pPr>
        <w:jc w:val="both"/>
        <w:rPr>
          <w:b/>
          <w:sz w:val="14"/>
        </w:rPr>
        <w:sectPr w:rsidR="00C1515D">
          <w:type w:val="continuous"/>
          <w:pgSz w:w="12240" w:h="15840"/>
          <w:pgMar w:top="720" w:right="360" w:bottom="302" w:left="360" w:header="0" w:footer="720" w:gutter="0"/>
          <w:cols w:num="2" w:space="720"/>
        </w:sectPr>
      </w:pPr>
    </w:p>
    <w:p w14:paraId="5B34EB61" w14:textId="77777777" w:rsidR="00C1515D" w:rsidRDefault="00C1515D">
      <w:pPr>
        <w:jc w:val="both"/>
        <w:rPr>
          <w:sz w:val="14"/>
        </w:rPr>
      </w:pPr>
      <w:r>
        <w:rPr>
          <w:b/>
          <w:sz w:val="14"/>
        </w:rPr>
        <w:t xml:space="preserve">§ 58.1-2900  </w:t>
      </w:r>
      <w:r>
        <w:rPr>
          <w:sz w:val="14"/>
        </w:rPr>
        <w:t xml:space="preserve">(Effective January 1, 2001) </w:t>
      </w:r>
      <w:r>
        <w:rPr>
          <w:b/>
          <w:sz w:val="14"/>
        </w:rPr>
        <w:t>Imposition of tax</w:t>
      </w:r>
      <w:r>
        <w:rPr>
          <w:sz w:val="14"/>
        </w:rPr>
        <w:t xml:space="preserve"> </w:t>
      </w:r>
    </w:p>
    <w:p w14:paraId="1836D3D7" w14:textId="77777777" w:rsidR="00C1515D" w:rsidRDefault="00C1515D">
      <w:pPr>
        <w:jc w:val="both"/>
        <w:rPr>
          <w:sz w:val="14"/>
        </w:rPr>
      </w:pPr>
      <w:r>
        <w:rPr>
          <w:sz w:val="14"/>
        </w:rPr>
        <w:t xml:space="preserve">A. Effective January 1, 2001, there is hereby imposed, in addition to the local consumer utility tax of Article 4 (§ </w:t>
      </w:r>
      <w:bookmarkStart w:id="36" w:name="_Hlt489859768"/>
      <w:r>
        <w:rPr>
          <w:sz w:val="14"/>
        </w:rPr>
        <w:t>58.</w:t>
      </w:r>
      <w:bookmarkStart w:id="37" w:name="_Hlt489859789"/>
      <w:r>
        <w:rPr>
          <w:sz w:val="14"/>
        </w:rPr>
        <w:t>1</w:t>
      </w:r>
      <w:bookmarkEnd w:id="37"/>
      <w:r>
        <w:rPr>
          <w:sz w:val="14"/>
        </w:rPr>
        <w:t>-</w:t>
      </w:r>
      <w:bookmarkStart w:id="38" w:name="_Hlt489859890"/>
      <w:r>
        <w:rPr>
          <w:sz w:val="14"/>
        </w:rPr>
        <w:t>3</w:t>
      </w:r>
      <w:bookmarkEnd w:id="38"/>
      <w:r>
        <w:rPr>
          <w:sz w:val="14"/>
        </w:rPr>
        <w:t>812</w:t>
      </w:r>
      <w:bookmarkEnd w:id="36"/>
      <w:r>
        <w:rPr>
          <w:sz w:val="14"/>
        </w:rPr>
        <w:t xml:space="preserve"> et seq.) of Chapter 38 and subject to the adjustments authorized by subdivision A 5 and by § </w:t>
      </w:r>
      <w:bookmarkStart w:id="39" w:name="_Hlt489859514"/>
      <w:r>
        <w:rPr>
          <w:sz w:val="14"/>
        </w:rPr>
        <w:t>5</w:t>
      </w:r>
      <w:bookmarkStart w:id="40" w:name="_Hlt489859797"/>
      <w:r>
        <w:rPr>
          <w:sz w:val="14"/>
        </w:rPr>
        <w:t>8</w:t>
      </w:r>
      <w:bookmarkEnd w:id="40"/>
      <w:r>
        <w:rPr>
          <w:sz w:val="14"/>
        </w:rPr>
        <w:t>.1-2902</w:t>
      </w:r>
      <w:bookmarkEnd w:id="39"/>
      <w:r>
        <w:rPr>
          <w:sz w:val="14"/>
        </w:rPr>
        <w:t xml:space="preserve">, a tax on the consumers of electricity in the Commonwealth based on kilowatt hours delivered by the incumbent distribution utility and used per month as follows: </w:t>
      </w:r>
    </w:p>
    <w:p w14:paraId="2AC60284" w14:textId="2AA0441B" w:rsidR="00642163" w:rsidRDefault="00C1515D">
      <w:pPr>
        <w:jc w:val="both"/>
        <w:rPr>
          <w:sz w:val="14"/>
        </w:rPr>
      </w:pPr>
      <w:r>
        <w:rPr>
          <w:sz w:val="14"/>
        </w:rPr>
        <w:t>1. Each consumer of electricity in the Commonwealth shall pay electric utility consumption tax on all electricity consumed per month not in excess of 2,500 kWh at the rate of $0.0015</w:t>
      </w:r>
      <w:r w:rsidR="00A73A69">
        <w:rPr>
          <w:sz w:val="14"/>
          <w:lang w:val="en-US"/>
        </w:rPr>
        <w:t>9</w:t>
      </w:r>
      <w:r>
        <w:rPr>
          <w:sz w:val="14"/>
        </w:rPr>
        <w:t xml:space="preserve">5 per kWh, as follows: </w:t>
      </w:r>
    </w:p>
    <w:p w14:paraId="0E37BAAB" w14:textId="77777777" w:rsidR="00C1515D" w:rsidRDefault="00C1515D">
      <w:pPr>
        <w:pStyle w:val="Preformatted"/>
        <w:tabs>
          <w:tab w:val="clear" w:pos="9590"/>
        </w:tabs>
        <w:jc w:val="both"/>
        <w:rPr>
          <w:sz w:val="14"/>
        </w:rPr>
      </w:pPr>
      <w:r>
        <w:rPr>
          <w:sz w:val="14"/>
        </w:rPr>
        <w:t>State              Special                         Local</w:t>
      </w:r>
    </w:p>
    <w:p w14:paraId="0B00E60D" w14:textId="77777777" w:rsidR="00C1515D" w:rsidRDefault="00C1515D">
      <w:pPr>
        <w:pStyle w:val="Preformatted"/>
        <w:tabs>
          <w:tab w:val="clear" w:pos="9590"/>
        </w:tabs>
        <w:jc w:val="both"/>
        <w:rPr>
          <w:sz w:val="14"/>
        </w:rPr>
      </w:pPr>
      <w:r>
        <w:rPr>
          <w:sz w:val="14"/>
        </w:rPr>
        <w:t>consumption        regulatory                      consumption</w:t>
      </w:r>
    </w:p>
    <w:p w14:paraId="3C862F7A" w14:textId="77777777" w:rsidR="00C1515D" w:rsidRDefault="00C1515D">
      <w:pPr>
        <w:pStyle w:val="Preformatted"/>
        <w:tabs>
          <w:tab w:val="clear" w:pos="9590"/>
        </w:tabs>
        <w:jc w:val="both"/>
        <w:rPr>
          <w:sz w:val="14"/>
        </w:rPr>
      </w:pPr>
      <w:r>
        <w:rPr>
          <w:sz w:val="14"/>
        </w:rPr>
        <w:t>tax rate           tax rate                        tax rate</w:t>
      </w:r>
    </w:p>
    <w:p w14:paraId="0E3CAAAF" w14:textId="53A2E10B" w:rsidR="00642163" w:rsidRDefault="00C1515D" w:rsidP="00642163">
      <w:pPr>
        <w:pStyle w:val="Preformatted"/>
        <w:tabs>
          <w:tab w:val="clear" w:pos="9590"/>
        </w:tabs>
        <w:jc w:val="both"/>
        <w:rPr>
          <w:sz w:val="14"/>
        </w:rPr>
      </w:pPr>
      <w:r>
        <w:rPr>
          <w:sz w:val="14"/>
        </w:rPr>
        <w:t>$0.00102/kWh       $0.0001</w:t>
      </w:r>
      <w:r w:rsidR="001934F0">
        <w:rPr>
          <w:sz w:val="14"/>
        </w:rPr>
        <w:t>9</w:t>
      </w:r>
      <w:r>
        <w:rPr>
          <w:sz w:val="14"/>
        </w:rPr>
        <w:t>5/kWh                    $0.00038/kWh</w:t>
      </w:r>
    </w:p>
    <w:p w14:paraId="0D3C4F1F" w14:textId="2840A912" w:rsidR="00642163" w:rsidRDefault="00C1515D" w:rsidP="00642163">
      <w:pPr>
        <w:jc w:val="both"/>
        <w:rPr>
          <w:sz w:val="14"/>
        </w:rPr>
      </w:pPr>
      <w:r>
        <w:rPr>
          <w:sz w:val="14"/>
        </w:rPr>
        <w:t>2. Each consumer of electricity in the Commonwealth shall pay electric utility consumption tax on all electricity consumed per month in excess of 2,500 kWh but not in excess of 50,000 kWh at the rate of $0.00</w:t>
      </w:r>
      <w:r w:rsidR="00A73A69">
        <w:rPr>
          <w:sz w:val="14"/>
          <w:lang w:val="en-US"/>
        </w:rPr>
        <w:t>102</w:t>
      </w:r>
      <w:r>
        <w:rPr>
          <w:sz w:val="14"/>
        </w:rPr>
        <w:t xml:space="preserve"> per kWh, as follows: </w:t>
      </w:r>
    </w:p>
    <w:p w14:paraId="77D55BD2" w14:textId="486CB3D8" w:rsidR="00C1515D" w:rsidRDefault="00C1515D">
      <w:pPr>
        <w:pStyle w:val="Preformatted"/>
        <w:tabs>
          <w:tab w:val="clear" w:pos="9590"/>
        </w:tabs>
        <w:jc w:val="both"/>
        <w:rPr>
          <w:sz w:val="14"/>
        </w:rPr>
      </w:pPr>
      <w:r>
        <w:rPr>
          <w:sz w:val="14"/>
        </w:rPr>
        <w:t>State              Special                         Local</w:t>
      </w:r>
    </w:p>
    <w:p w14:paraId="4F308817" w14:textId="77777777" w:rsidR="00C1515D" w:rsidRDefault="00C1515D">
      <w:pPr>
        <w:pStyle w:val="Preformatted"/>
        <w:tabs>
          <w:tab w:val="clear" w:pos="9590"/>
        </w:tabs>
        <w:jc w:val="both"/>
        <w:rPr>
          <w:sz w:val="14"/>
        </w:rPr>
      </w:pPr>
      <w:r>
        <w:rPr>
          <w:sz w:val="14"/>
        </w:rPr>
        <w:t>consumption        regulatory                      consumption</w:t>
      </w:r>
    </w:p>
    <w:p w14:paraId="13E1BD7D" w14:textId="77777777" w:rsidR="00C1515D" w:rsidRDefault="00C1515D">
      <w:pPr>
        <w:pStyle w:val="Preformatted"/>
        <w:tabs>
          <w:tab w:val="clear" w:pos="9590"/>
        </w:tabs>
        <w:jc w:val="both"/>
        <w:rPr>
          <w:sz w:val="14"/>
        </w:rPr>
      </w:pPr>
      <w:r>
        <w:rPr>
          <w:sz w:val="14"/>
        </w:rPr>
        <w:t>tax rate           tax rate                        tax rate</w:t>
      </w:r>
    </w:p>
    <w:p w14:paraId="5FD9DBD4" w14:textId="277AACB7" w:rsidR="00642163" w:rsidRDefault="00C1515D" w:rsidP="00642163">
      <w:pPr>
        <w:pStyle w:val="Preformatted"/>
        <w:tabs>
          <w:tab w:val="clear" w:pos="9590"/>
        </w:tabs>
        <w:jc w:val="both"/>
        <w:rPr>
          <w:sz w:val="14"/>
        </w:rPr>
      </w:pPr>
      <w:r>
        <w:rPr>
          <w:sz w:val="14"/>
        </w:rPr>
        <w:t>$0.00065/kWh       $0.0001</w:t>
      </w:r>
      <w:r w:rsidR="001934F0">
        <w:rPr>
          <w:sz w:val="14"/>
        </w:rPr>
        <w:t>3</w:t>
      </w:r>
      <w:r>
        <w:rPr>
          <w:sz w:val="14"/>
        </w:rPr>
        <w:t>/kWh                    $0.00024/kWh</w:t>
      </w:r>
    </w:p>
    <w:p w14:paraId="1BEE4A0E" w14:textId="59AB9B89" w:rsidR="00642163" w:rsidRDefault="00C1515D" w:rsidP="00642163">
      <w:pPr>
        <w:jc w:val="both"/>
        <w:rPr>
          <w:sz w:val="14"/>
        </w:rPr>
      </w:pPr>
      <w:r>
        <w:rPr>
          <w:sz w:val="14"/>
        </w:rPr>
        <w:t>3. Each consumer of electricity in the Commonwealth shall pay electric utility consumption tax on all electricity consumed per month in excess of 50,000 kWh at the rate of $0.0007</w:t>
      </w:r>
      <w:r w:rsidR="00A73A69">
        <w:rPr>
          <w:sz w:val="14"/>
          <w:lang w:val="en-US"/>
        </w:rPr>
        <w:t>71</w:t>
      </w:r>
      <w:r>
        <w:rPr>
          <w:sz w:val="14"/>
        </w:rPr>
        <w:t xml:space="preserve"> per kWh, as follows: </w:t>
      </w:r>
    </w:p>
    <w:p w14:paraId="0489A9B9" w14:textId="43D34AED" w:rsidR="00C1515D" w:rsidRDefault="00C1515D">
      <w:pPr>
        <w:pStyle w:val="Preformatted"/>
        <w:tabs>
          <w:tab w:val="clear" w:pos="9590"/>
        </w:tabs>
        <w:jc w:val="both"/>
        <w:rPr>
          <w:sz w:val="14"/>
        </w:rPr>
      </w:pPr>
      <w:r>
        <w:rPr>
          <w:sz w:val="14"/>
        </w:rPr>
        <w:t>State              Special                         Local</w:t>
      </w:r>
    </w:p>
    <w:p w14:paraId="3040DB46" w14:textId="77777777" w:rsidR="00C1515D" w:rsidRDefault="00C1515D">
      <w:pPr>
        <w:pStyle w:val="Preformatted"/>
        <w:tabs>
          <w:tab w:val="clear" w:pos="9590"/>
        </w:tabs>
        <w:jc w:val="both"/>
        <w:rPr>
          <w:sz w:val="14"/>
        </w:rPr>
      </w:pPr>
      <w:r>
        <w:rPr>
          <w:sz w:val="14"/>
        </w:rPr>
        <w:t>consumption        regulatory                      consumption</w:t>
      </w:r>
    </w:p>
    <w:p w14:paraId="4328E7B1" w14:textId="77777777" w:rsidR="00C1515D" w:rsidRDefault="00C1515D">
      <w:pPr>
        <w:pStyle w:val="Preformatted"/>
        <w:tabs>
          <w:tab w:val="clear" w:pos="9590"/>
        </w:tabs>
        <w:jc w:val="both"/>
        <w:rPr>
          <w:sz w:val="14"/>
        </w:rPr>
      </w:pPr>
      <w:r>
        <w:rPr>
          <w:sz w:val="14"/>
        </w:rPr>
        <w:t>tax rate           tax rate                        tax rate</w:t>
      </w:r>
    </w:p>
    <w:p w14:paraId="3E61A473" w14:textId="42EEAE90" w:rsidR="00642163" w:rsidRDefault="00C1515D" w:rsidP="00642163">
      <w:pPr>
        <w:pStyle w:val="Preformatted"/>
        <w:tabs>
          <w:tab w:val="clear" w:pos="9590"/>
        </w:tabs>
        <w:jc w:val="both"/>
        <w:rPr>
          <w:sz w:val="14"/>
        </w:rPr>
      </w:pPr>
      <w:r>
        <w:rPr>
          <w:sz w:val="14"/>
        </w:rPr>
        <w:t>$0.00050/kWh       $0.0000</w:t>
      </w:r>
      <w:r w:rsidR="001934F0">
        <w:rPr>
          <w:sz w:val="14"/>
        </w:rPr>
        <w:t>91</w:t>
      </w:r>
      <w:r>
        <w:rPr>
          <w:sz w:val="14"/>
        </w:rPr>
        <w:t>/kWh                    $0.00018/kWh</w:t>
      </w:r>
    </w:p>
    <w:p w14:paraId="18A725FA" w14:textId="1F9BBA67" w:rsidR="00C1515D" w:rsidRDefault="00C1515D">
      <w:pPr>
        <w:jc w:val="both"/>
        <w:rPr>
          <w:sz w:val="14"/>
        </w:rPr>
      </w:pPr>
      <w:r>
        <w:rPr>
          <w:sz w:val="14"/>
        </w:rPr>
        <w:t xml:space="preserve">4. The tax rates set forth in subdivisions 1, 2, and 3 are in lieu of and replace the state gross receipts tax (§ 58.1-2626), the special regulatory revenue tax (§ 58.1-2660), and the local license tax (§ 58.1-3731) levied on corporations furnishing heat, light or power by means of electricity. </w:t>
      </w:r>
    </w:p>
    <w:p w14:paraId="5F6896CC" w14:textId="77777777" w:rsidR="00C1515D" w:rsidRDefault="00C1515D">
      <w:pPr>
        <w:jc w:val="both"/>
        <w:rPr>
          <w:sz w:val="14"/>
        </w:rPr>
      </w:pPr>
      <w:r>
        <w:rPr>
          <w:sz w:val="14"/>
        </w:rPr>
        <w:t xml:space="preserve">5. The tax on consumers under this section shall not be imposed on consumers served by an electric utility owned or operated by a municipality if such municipal electric utility elects to have an amount equivalent to the tax added on the bill such utility (or an association or agency of which it is a member) pays for bundled or unbundled transmission service as a separate item. Such amount, equivalent to the tax, shall be calculated under the tax rate schedule as if the municipal electric utility were selling and collecting the tax from its consumers, adjusted to exclude the amount which represents the local consumption tax if the locality in which a consumer is located does not impose a license fee rate pursuant to § 58.1-3731, and shall be remitted to the Commission pursuant to § 58.1-2901. Municipal electric utilities may bundle the tax in the rates charged to their retail customers. Notwithstanding anything contained herein to the contrary, the election permitted under this subdivision shall not be exercised by any municipal electric utility if the entity to whom the municipal electric utility (or an association or agency of which it is a member) pays for transmission service is not subject to the taxing jurisdiction of the Commonwealth, unless such entity agrees to remit to the Commonwealth all amounts equivalent to the tax pursuant to § 58.1-2901. </w:t>
      </w:r>
    </w:p>
    <w:p w14:paraId="4A6E0C0A" w14:textId="77777777" w:rsidR="00C1515D" w:rsidRDefault="00C1515D">
      <w:pPr>
        <w:jc w:val="both"/>
        <w:rPr>
          <w:sz w:val="14"/>
        </w:rPr>
      </w:pPr>
      <w:r>
        <w:rPr>
          <w:sz w:val="14"/>
        </w:rPr>
        <w:t xml:space="preserve">6. The tax on consumers set forth in subdivisions 1, 2, and 3 shall only be imposed in accordance with this subdivision on consumers of electricity purchased from a utility consumer services cooperative to the extent that such cooperative purchases, for the purpose of resale within the Commonwealth, electricity from a federal entity that made payments in accordance with federal law (i) in lieu of taxes during such taxable period to the Commonwealth and (ii) on the basis of such federal entity's gross proceeds resulting from the sale of such electricity. Such tax shall instead be calculated by deducting from each of the respective tax amounts calculated in accordance with subdivisions 1, 2, and 3 an amount equal to the calculated tax amount multiplied by the ratio of the total cost of power supplied by the federal entity, including facilities rental, during the taxable period to the utility consumer services cooperative's total operating revenue within the Commonwealth during the taxable period. The State Corporation Commission may audit the records and books of any utility consumer services cooperative that determines the tax on consumers in accordance with this subdivision to verify that the tax imposed has been correctly determined and properly remitted. </w:t>
      </w:r>
    </w:p>
    <w:p w14:paraId="7AD0C61A" w14:textId="77777777" w:rsidR="00C1515D" w:rsidRDefault="00C1515D">
      <w:pPr>
        <w:jc w:val="both"/>
        <w:rPr>
          <w:sz w:val="14"/>
        </w:rPr>
      </w:pPr>
      <w:r>
        <w:rPr>
          <w:sz w:val="14"/>
        </w:rPr>
        <w:t xml:space="preserve">B. The tax authorized by this chapter shall not apply to municipalities' own use or to use by divisions or agencies of federal, state and local governments. </w:t>
      </w:r>
    </w:p>
    <w:p w14:paraId="364CD7EB" w14:textId="77777777" w:rsidR="00C1515D" w:rsidRDefault="00C1515D">
      <w:pPr>
        <w:jc w:val="both"/>
        <w:rPr>
          <w:sz w:val="14"/>
        </w:rPr>
      </w:pPr>
      <w:r>
        <w:rPr>
          <w:sz w:val="14"/>
        </w:rPr>
        <w:t xml:space="preserve">C. For purposes of this section, "kilowatt hours delivered" shall mean in the case of eligible customer-generators, as defined in § 56-594, those kilowatt hours supplied from the electric grid to such customer-generators, minus the kilowatt hours generated and fed back to the electric grid by such customer-generators. </w:t>
      </w:r>
    </w:p>
    <w:p w14:paraId="3D04319B" w14:textId="77777777" w:rsidR="00C1515D" w:rsidRDefault="00C1515D">
      <w:pPr>
        <w:jc w:val="both"/>
        <w:rPr>
          <w:sz w:val="14"/>
        </w:rPr>
      </w:pPr>
    </w:p>
    <w:p w14:paraId="64EFDBFA" w14:textId="77777777" w:rsidR="00C1515D" w:rsidRDefault="00C1515D">
      <w:pPr>
        <w:jc w:val="both"/>
        <w:rPr>
          <w:sz w:val="14"/>
        </w:rPr>
      </w:pPr>
      <w:r>
        <w:rPr>
          <w:b/>
          <w:sz w:val="14"/>
        </w:rPr>
        <w:t xml:space="preserve">§ 58.1-2901 </w:t>
      </w:r>
      <w:r>
        <w:rPr>
          <w:sz w:val="14"/>
        </w:rPr>
        <w:t xml:space="preserve"> (Effective January 1, 2001) </w:t>
      </w:r>
      <w:r>
        <w:rPr>
          <w:b/>
          <w:sz w:val="14"/>
        </w:rPr>
        <w:t>Collection and remittance of tax</w:t>
      </w:r>
    </w:p>
    <w:p w14:paraId="60D6E966" w14:textId="77777777" w:rsidR="00C1515D" w:rsidRDefault="00C1515D">
      <w:pPr>
        <w:jc w:val="both"/>
        <w:rPr>
          <w:sz w:val="14"/>
          <w:lang w:val="en-US"/>
        </w:rPr>
      </w:pPr>
      <w:r>
        <w:rPr>
          <w:sz w:val="14"/>
          <w:lang w:val="en-US"/>
        </w:rPr>
        <w:t xml:space="preserve">A. </w:t>
      </w:r>
      <w:r>
        <w:rPr>
          <w:sz w:val="14"/>
        </w:rPr>
        <w:t>The service provider shall collect the tax from the consumer by adding it as a separate charge to the consumer's monthly statement. Until the consumer pays the tax to such service provider, the tax shall constitute a debt of the consumer to the Commonwealth, localities, and the State Corporation Commission. If any consumer receives and pays for electricity but refuses to pay the tax on the bill that is imposed by § 58.1-2900, the service provider shall notify the State Corporation Commission of the name and address of such consumer. If any consumer fails to pay a bill issued by a service provider including the tax that is imposed by § 5</w:t>
      </w:r>
      <w:bookmarkStart w:id="41" w:name="_Hlt489859976"/>
      <w:r>
        <w:rPr>
          <w:sz w:val="14"/>
        </w:rPr>
        <w:t>8</w:t>
      </w:r>
      <w:bookmarkEnd w:id="41"/>
      <w:r>
        <w:rPr>
          <w:sz w:val="14"/>
        </w:rPr>
        <w:t xml:space="preserve">.1-2900, the service provider shall follow its normal collection procedures with respect to the charge for electric service and the tax, and upon collection of the bill or any part thereof shall (i) apportion the net amount collected between the charge for electric service and the tax and (ii) remit the tax portion to the State Corporation Commission and the appropriate locality. After the consumer pays the tax to the service provider, the taxes collected shall be deemed to be held in trust by such provider until remitted to the State Corporation Commission and the appropriate locality. </w:t>
      </w:r>
    </w:p>
    <w:p w14:paraId="2FC4D741" w14:textId="77777777" w:rsidR="00C1515D" w:rsidRDefault="00C1515D">
      <w:pPr>
        <w:jc w:val="both"/>
        <w:rPr>
          <w:sz w:val="14"/>
          <w:lang w:val="en-US"/>
        </w:rPr>
      </w:pPr>
      <w:r>
        <w:rPr>
          <w:sz w:val="14"/>
          <w:lang w:val="en-US"/>
        </w:rPr>
        <w:t xml:space="preserve">                   </w:t>
      </w:r>
    </w:p>
    <w:p w14:paraId="2D82B35A" w14:textId="77777777" w:rsidR="00C1515D" w:rsidRDefault="00C1515D">
      <w:pPr>
        <w:jc w:val="both"/>
        <w:rPr>
          <w:sz w:val="14"/>
          <w:lang w:val="en-US"/>
        </w:rPr>
      </w:pPr>
    </w:p>
    <w:p w14:paraId="0A275C44" w14:textId="77777777" w:rsidR="00C1515D" w:rsidRDefault="00C1515D">
      <w:pPr>
        <w:jc w:val="both"/>
        <w:rPr>
          <w:sz w:val="14"/>
          <w:lang w:val="en-US"/>
        </w:rPr>
      </w:pPr>
    </w:p>
    <w:p w14:paraId="659C06DD" w14:textId="1A9F62C1" w:rsidR="0099582D" w:rsidRDefault="0099582D">
      <w:pPr>
        <w:jc w:val="both"/>
        <w:rPr>
          <w:sz w:val="14"/>
          <w:lang w:val="en-US"/>
        </w:rPr>
      </w:pPr>
    </w:p>
    <w:p w14:paraId="6F9C40C8" w14:textId="77777777" w:rsidR="00EA0974" w:rsidRDefault="00EA0974">
      <w:pPr>
        <w:jc w:val="both"/>
        <w:rPr>
          <w:sz w:val="14"/>
          <w:lang w:val="en-US"/>
        </w:rPr>
      </w:pPr>
    </w:p>
    <w:p w14:paraId="39D1CE6E" w14:textId="77777777" w:rsidR="00C1515D" w:rsidRDefault="00C1515D">
      <w:pPr>
        <w:jc w:val="both"/>
        <w:rPr>
          <w:sz w:val="14"/>
          <w:lang w:val="en-US"/>
        </w:rPr>
      </w:pPr>
    </w:p>
    <w:p w14:paraId="40E9304C" w14:textId="77777777" w:rsidR="00C1515D" w:rsidRDefault="00C1515D">
      <w:pPr>
        <w:jc w:val="both"/>
        <w:rPr>
          <w:sz w:val="14"/>
        </w:rPr>
      </w:pPr>
      <w:r>
        <w:rPr>
          <w:sz w:val="14"/>
        </w:rPr>
        <w:t xml:space="preserve">When determining the amount of tax to collect from consumers of an electric utility that is a cooperative which purchases, for the purpose of resale within the Commonwealth, electricity from a federal entity that made payments during such taxable period to the Commonwealth in lieu of taxes in accordance with a federal law requiring such payments to be calculated on the basis of such federal entity's gross proceeds from the sale of electricity, the service provider shall deduct from each of the respective tax amounts calculated in accordance with § 58.1-2900 an amount equal to the calculated tax amounts multiplied by the ratio that the total cost of the power, including facilities rental, supplied by said federal entity to said cooperative for resale within the Commonwealth bears to said cooperative's total operating revenue within the Commonwealth for the taxable period. The State Corporation Commission may audit the records and books of said cooperative to verify that the tax imposed by this chapter has been correctly determined and properly remitted. </w:t>
      </w:r>
    </w:p>
    <w:p w14:paraId="4CEEA162" w14:textId="77777777" w:rsidR="00C1515D" w:rsidRDefault="00C1515D">
      <w:pPr>
        <w:jc w:val="both"/>
        <w:rPr>
          <w:sz w:val="14"/>
        </w:rPr>
      </w:pPr>
      <w:r>
        <w:rPr>
          <w:sz w:val="14"/>
        </w:rPr>
        <w:t xml:space="preserve">B. A service provider shall remit monthly to the Commission the amount of tax paid during the preceding month by the service provider's consumers, except for (i) amounts added on the bills to utilities owned and operated by municipalities which are collected by the entity providing transmission directly to such utilities (or an association or agency of which the municipality is a member), which they shall remit directly to the Commission and (ii) the portion which represents the local consumption tax, which portion shall be remitted to the locality in which the electricity was consumed and shall be based on such locality's license fee rate which it imposed. Amounts of the tax that are added on the bills to utilities owned and operated by municipalities, which are collected by the entity providing transmission directly to such utilities (or an association or agency of which the municipality is a member), shall be remitted monthly by such entity to the Commission, except that the portion which represents the local consumption tax shall be remitted to the locality in which the electricity was consumed and shall be based on such locality's license fee rate which it imposed. </w:t>
      </w:r>
    </w:p>
    <w:p w14:paraId="79B21B44" w14:textId="77777777" w:rsidR="00C1515D" w:rsidRDefault="00C1515D">
      <w:pPr>
        <w:jc w:val="both"/>
        <w:rPr>
          <w:sz w:val="14"/>
        </w:rPr>
      </w:pPr>
      <w:r>
        <w:rPr>
          <w:sz w:val="14"/>
        </w:rPr>
        <w:t xml:space="preserve">C. The electric utility consumption tax shall be remitted monthly, on or before the last day of the succeeding month of collection. Those portions of the electric utility consumption tax that relate to the state consumption tax and the special regulatory tax shall be remitted to the Commission; the portion that relates to the local consumption tax shall be remitted to the localities. Failure to remit timely will result in a ten percent penalty. </w:t>
      </w:r>
    </w:p>
    <w:p w14:paraId="40CD0AC5" w14:textId="77777777" w:rsidR="00C1515D" w:rsidRDefault="00C1515D">
      <w:pPr>
        <w:jc w:val="both"/>
        <w:rPr>
          <w:sz w:val="14"/>
        </w:rPr>
      </w:pPr>
      <w:r>
        <w:rPr>
          <w:sz w:val="14"/>
        </w:rPr>
        <w:t xml:space="preserve">D. Taxes on electricity sales in the year ending December 31, 2000, relating to the local consumption tax, shall be paid in accordance with § 58.1-3731. Monthly payments in accordance with subsection C shall commence on February 28, 2001. </w:t>
      </w:r>
    </w:p>
    <w:p w14:paraId="15230634" w14:textId="77777777" w:rsidR="00C1515D" w:rsidRDefault="00C1515D">
      <w:pPr>
        <w:jc w:val="both"/>
        <w:rPr>
          <w:sz w:val="14"/>
        </w:rPr>
      </w:pPr>
      <w:r>
        <w:rPr>
          <w:sz w:val="14"/>
        </w:rPr>
        <w:t xml:space="preserve">E. For purposes of this section, "service provider" means the person who delivers electricity to the consumer. </w:t>
      </w:r>
    </w:p>
    <w:p w14:paraId="7BB1BC2C" w14:textId="77777777" w:rsidR="00C1515D" w:rsidRDefault="00C1515D">
      <w:pPr>
        <w:jc w:val="both"/>
        <w:rPr>
          <w:sz w:val="14"/>
        </w:rPr>
      </w:pPr>
      <w:r>
        <w:rPr>
          <w:sz w:val="14"/>
        </w:rPr>
        <w:t xml:space="preserve">F. The portion of the electric utility consumption tax relating to the local consumption tax replaces and precludes localities from imposing a license tax in accordance with § 58.1-3731 and the business, professional, occupation and license tax in accordance with Chapter 37 (§ 58.1-3700 et seq.) on electric suppliers subsequent to December 31, 2000, except as provided in subsection D. If the license fee rate imposed by a locality is less than the equivalent of the local consumption tax rate component of the consumption tax paid under subsection A of § 58.1-2900, the excess collected by the Commission shall constitute additional state consumption tax revenue and shall be remitted by the Commission to the state treasury. </w:t>
      </w:r>
    </w:p>
    <w:p w14:paraId="6C8CE888" w14:textId="77777777" w:rsidR="00C1515D" w:rsidRDefault="00C1515D">
      <w:pPr>
        <w:jc w:val="both"/>
        <w:rPr>
          <w:sz w:val="14"/>
        </w:rPr>
      </w:pPr>
      <w:r>
        <w:rPr>
          <w:sz w:val="14"/>
        </w:rPr>
        <w:t xml:space="preserve">G. The Department of Taxation may audit the books and records of any electric utility owned and operated by a municipality (or an association or agency of which the municipality is a member) to verify that the tax imposed by this chapter has been correctly determined and properly remitted to the Commission. </w:t>
      </w:r>
    </w:p>
    <w:p w14:paraId="74C18FAE" w14:textId="77777777" w:rsidR="00C1515D" w:rsidRDefault="00C1515D">
      <w:pPr>
        <w:jc w:val="both"/>
        <w:rPr>
          <w:sz w:val="14"/>
        </w:rPr>
      </w:pPr>
    </w:p>
    <w:p w14:paraId="40B2042A" w14:textId="77777777" w:rsidR="00C1515D" w:rsidRDefault="00C1515D">
      <w:pPr>
        <w:jc w:val="both"/>
        <w:rPr>
          <w:b/>
          <w:sz w:val="14"/>
        </w:rPr>
      </w:pPr>
      <w:r>
        <w:rPr>
          <w:b/>
          <w:sz w:val="14"/>
        </w:rPr>
        <w:t xml:space="preserve">§ 58.1-2902  </w:t>
      </w:r>
      <w:r>
        <w:rPr>
          <w:sz w:val="14"/>
        </w:rPr>
        <w:t xml:space="preserve">(Effective January 1, 2001) </w:t>
      </w:r>
      <w:r>
        <w:rPr>
          <w:b/>
          <w:sz w:val="14"/>
        </w:rPr>
        <w:t xml:space="preserve">Electric utility consumption tax relating to the special regulatory tax; when not assessed or assessed only in part </w:t>
      </w:r>
    </w:p>
    <w:p w14:paraId="0856A623" w14:textId="77777777" w:rsidR="00C1515D" w:rsidRDefault="00C1515D">
      <w:pPr>
        <w:jc w:val="both"/>
        <w:rPr>
          <w:sz w:val="14"/>
        </w:rPr>
      </w:pPr>
      <w:r>
        <w:rPr>
          <w:sz w:val="14"/>
        </w:rPr>
        <w:t xml:space="preserve">A. The Commission may in the performance of its function and duty in levying the electric utility consumption tax relating to the special regulatory tax, omit the levy on any portion of the tax fixed in §58.1-2900 as is unnecessary within the Commission's sole discretion for the accomplishment of the objects for which the tax is imposed, including a reasonable margin in the nature of a reserve fund. </w:t>
      </w:r>
    </w:p>
    <w:p w14:paraId="7F304F3F" w14:textId="77777777" w:rsidR="00C1515D" w:rsidRPr="00016543" w:rsidRDefault="00C1515D">
      <w:pPr>
        <w:jc w:val="both"/>
        <w:rPr>
          <w:sz w:val="14"/>
          <w:lang w:val="en-US"/>
        </w:rPr>
      </w:pPr>
      <w:r>
        <w:rPr>
          <w:sz w:val="14"/>
        </w:rPr>
        <w:t xml:space="preserve">B. The Commission shall notify all service providers collecting the tax on consumers of electricity of any change in the electric utility consumption tax relating to the special regulatory tax not later than the first day of the second month preceding the month in which the revised rate is to take effect. </w:t>
      </w:r>
    </w:p>
    <w:p w14:paraId="7B5D2F7A" w14:textId="77777777" w:rsidR="00C1515D" w:rsidRDefault="00C1515D">
      <w:pPr>
        <w:jc w:val="both"/>
        <w:rPr>
          <w:sz w:val="14"/>
        </w:rPr>
      </w:pPr>
    </w:p>
    <w:p w14:paraId="40F34472" w14:textId="77777777" w:rsidR="00C1515D" w:rsidRDefault="00C1515D">
      <w:pPr>
        <w:jc w:val="both"/>
        <w:rPr>
          <w:b/>
          <w:sz w:val="14"/>
        </w:rPr>
      </w:pPr>
      <w:r>
        <w:rPr>
          <w:b/>
          <w:sz w:val="14"/>
        </w:rPr>
        <w:t xml:space="preserve">§ 58.1-2903  </w:t>
      </w:r>
      <w:r>
        <w:rPr>
          <w:sz w:val="14"/>
        </w:rPr>
        <w:t xml:space="preserve">(Effective January 1, 2001) </w:t>
      </w:r>
      <w:r>
        <w:rPr>
          <w:b/>
          <w:sz w:val="14"/>
        </w:rPr>
        <w:t xml:space="preserve">Use of electric utility consumption tax relating to special regulatory tax </w:t>
      </w:r>
    </w:p>
    <w:p w14:paraId="4F959D42" w14:textId="77777777" w:rsidR="00C1515D" w:rsidRDefault="00C1515D">
      <w:pPr>
        <w:jc w:val="both"/>
        <w:rPr>
          <w:sz w:val="14"/>
        </w:rPr>
      </w:pPr>
      <w:r>
        <w:rPr>
          <w:sz w:val="14"/>
        </w:rPr>
        <w:t xml:space="preserve">The electric utility consumption tax relating to the special regulatory tax paid into the treasury under this chapter shall be deposited into a special fund used only by the Commission for the purpose of making appraisals, assessments and collections against electric suppliers as defined in §§58.1-400.2 and 58.1-2600 and public service corporations furnishing heat, light and power by means of electricity and for the further purposes of the Commission in investigating and inspecting the properties or the service or services of such electric suppliers and public service corporations, and for the supervision and administration of all laws relative to such electric suppliers and public service corporations, whenever the same shall be deemed necessary by the Commission. </w:t>
      </w:r>
    </w:p>
    <w:p w14:paraId="39BED0A2" w14:textId="77777777" w:rsidR="00C1515D" w:rsidRDefault="00C1515D">
      <w:pPr>
        <w:jc w:val="both"/>
        <w:rPr>
          <w:sz w:val="14"/>
          <w:lang w:val="en-US"/>
        </w:rPr>
      </w:pPr>
    </w:p>
    <w:p w14:paraId="6856A0A7" w14:textId="77777777" w:rsidR="00016543" w:rsidRDefault="00016543">
      <w:pPr>
        <w:jc w:val="both"/>
        <w:rPr>
          <w:sz w:val="14"/>
          <w:lang w:val="en-US"/>
        </w:rPr>
      </w:pPr>
    </w:p>
    <w:bookmarkEnd w:id="35"/>
    <w:p w14:paraId="5E5E23A6" w14:textId="77777777" w:rsidR="00640CBD" w:rsidRPr="008F779F" w:rsidRDefault="00640CBD">
      <w:pPr>
        <w:jc w:val="both"/>
        <w:rPr>
          <w:sz w:val="14"/>
          <w:lang w:val="en-US"/>
        </w:rPr>
      </w:pPr>
    </w:p>
    <w:p w14:paraId="5C8A703E" w14:textId="77777777" w:rsidR="005067A5" w:rsidRPr="0089490A" w:rsidRDefault="005067A5">
      <w:pPr>
        <w:jc w:val="both"/>
        <w:rPr>
          <w:b/>
          <w:i/>
          <w:sz w:val="14"/>
          <w:szCs w:val="14"/>
          <w:lang w:val="en-US"/>
        </w:rPr>
      </w:pPr>
      <w:r w:rsidRPr="0089490A">
        <w:rPr>
          <w:b/>
          <w:i/>
          <w:sz w:val="14"/>
          <w:szCs w:val="14"/>
          <w:lang w:val="en-US"/>
        </w:rPr>
        <w:tab/>
      </w:r>
    </w:p>
    <w:sectPr w:rsidR="005067A5" w:rsidRPr="0089490A">
      <w:type w:val="continuous"/>
      <w:pgSz w:w="12240" w:h="15840"/>
      <w:pgMar w:top="540" w:right="360" w:bottom="302" w:left="360" w:header="0" w:footer="720"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5A9C" w14:textId="77777777" w:rsidR="00A960CC" w:rsidRDefault="00A960CC">
      <w:r>
        <w:separator/>
      </w:r>
    </w:p>
  </w:endnote>
  <w:endnote w:type="continuationSeparator" w:id="0">
    <w:p w14:paraId="72CE8530" w14:textId="77777777" w:rsidR="00A960CC" w:rsidRDefault="00A9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006E" w14:textId="77777777" w:rsidR="0099582D" w:rsidRDefault="00995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C043" w14:textId="561BFB66" w:rsidR="008C4C01" w:rsidRDefault="008C4C01" w:rsidP="008B38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1F51" w14:textId="77777777" w:rsidR="0099582D" w:rsidRDefault="00995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7FCF" w14:textId="77777777" w:rsidR="00A960CC" w:rsidRDefault="00A960CC">
      <w:r>
        <w:separator/>
      </w:r>
    </w:p>
  </w:footnote>
  <w:footnote w:type="continuationSeparator" w:id="0">
    <w:p w14:paraId="7341C6D9" w14:textId="77777777" w:rsidR="00A960CC" w:rsidRDefault="00A9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601A" w14:textId="77777777" w:rsidR="0099582D" w:rsidRDefault="00995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44EF" w14:textId="77777777" w:rsidR="0099582D" w:rsidRDefault="00995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8D65" w14:textId="77777777" w:rsidR="0099582D" w:rsidRDefault="009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5464"/>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42D65EF0"/>
    <w:multiLevelType w:val="singleLevel"/>
    <w:tmpl w:val="04090015"/>
    <w:lvl w:ilvl="0">
      <w:start w:val="1"/>
      <w:numFmt w:val="upperLetter"/>
      <w:lvlText w:val="%1."/>
      <w:lvlJc w:val="left"/>
      <w:pPr>
        <w:tabs>
          <w:tab w:val="num" w:pos="360"/>
        </w:tabs>
        <w:ind w:left="360" w:hanging="360"/>
      </w:pPr>
      <w:rPr>
        <w:rFonts w:hint="default"/>
      </w:rPr>
    </w:lvl>
  </w:abstractNum>
  <w:num w:numId="1" w16cid:durableId="2139034039">
    <w:abstractNumId w:val="0"/>
  </w:num>
  <w:num w:numId="2" w16cid:durableId="12327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8BXMpoi3/vu9nM15yiN5cpEPaTd6mgbTqY3MTrK8dlf4q0YD3Yw9Hgirm5N/X8A2mtu80XWlx1Ywoyegazl0w==" w:salt="oJJ5QHkM+vd68ylwxhJ8JA=="/>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43"/>
    <w:rsid w:val="00003BD3"/>
    <w:rsid w:val="00016543"/>
    <w:rsid w:val="000674CE"/>
    <w:rsid w:val="00070065"/>
    <w:rsid w:val="000A7610"/>
    <w:rsid w:val="0015619D"/>
    <w:rsid w:val="001676B5"/>
    <w:rsid w:val="001900EC"/>
    <w:rsid w:val="001934F0"/>
    <w:rsid w:val="001A5852"/>
    <w:rsid w:val="001B26EB"/>
    <w:rsid w:val="00200165"/>
    <w:rsid w:val="00262F46"/>
    <w:rsid w:val="002914C3"/>
    <w:rsid w:val="002B4330"/>
    <w:rsid w:val="00316728"/>
    <w:rsid w:val="00344F8A"/>
    <w:rsid w:val="00347A79"/>
    <w:rsid w:val="003D58CE"/>
    <w:rsid w:val="004478AB"/>
    <w:rsid w:val="0045278C"/>
    <w:rsid w:val="00474D12"/>
    <w:rsid w:val="00482355"/>
    <w:rsid w:val="004917C2"/>
    <w:rsid w:val="004C63F8"/>
    <w:rsid w:val="0050314B"/>
    <w:rsid w:val="005067A5"/>
    <w:rsid w:val="00557280"/>
    <w:rsid w:val="005A1DF8"/>
    <w:rsid w:val="005E5EA5"/>
    <w:rsid w:val="006108A0"/>
    <w:rsid w:val="006307E4"/>
    <w:rsid w:val="00640CBD"/>
    <w:rsid w:val="006419E3"/>
    <w:rsid w:val="00642163"/>
    <w:rsid w:val="006A1D14"/>
    <w:rsid w:val="006A1E60"/>
    <w:rsid w:val="006B6BAD"/>
    <w:rsid w:val="006D65F1"/>
    <w:rsid w:val="00757B25"/>
    <w:rsid w:val="00765BEE"/>
    <w:rsid w:val="00773CF6"/>
    <w:rsid w:val="00782D8D"/>
    <w:rsid w:val="007A1672"/>
    <w:rsid w:val="007C5A60"/>
    <w:rsid w:val="007D60D2"/>
    <w:rsid w:val="00815061"/>
    <w:rsid w:val="00842F08"/>
    <w:rsid w:val="00857D5E"/>
    <w:rsid w:val="0089490A"/>
    <w:rsid w:val="008B38CD"/>
    <w:rsid w:val="008C4C01"/>
    <w:rsid w:val="008F0C29"/>
    <w:rsid w:val="008F779F"/>
    <w:rsid w:val="0097525B"/>
    <w:rsid w:val="0099582D"/>
    <w:rsid w:val="009B69BB"/>
    <w:rsid w:val="009C62C4"/>
    <w:rsid w:val="009E4781"/>
    <w:rsid w:val="009F2FC7"/>
    <w:rsid w:val="00A6679A"/>
    <w:rsid w:val="00A67334"/>
    <w:rsid w:val="00A73A69"/>
    <w:rsid w:val="00A7545D"/>
    <w:rsid w:val="00A960CC"/>
    <w:rsid w:val="00AA4B11"/>
    <w:rsid w:val="00AD63E8"/>
    <w:rsid w:val="00AF5626"/>
    <w:rsid w:val="00B02A80"/>
    <w:rsid w:val="00B038A8"/>
    <w:rsid w:val="00B4737D"/>
    <w:rsid w:val="00B7618C"/>
    <w:rsid w:val="00B93B0B"/>
    <w:rsid w:val="00BD2254"/>
    <w:rsid w:val="00BF3BB1"/>
    <w:rsid w:val="00C1515D"/>
    <w:rsid w:val="00CB48FB"/>
    <w:rsid w:val="00CD5B4D"/>
    <w:rsid w:val="00CE5D92"/>
    <w:rsid w:val="00D11E6C"/>
    <w:rsid w:val="00D12BC4"/>
    <w:rsid w:val="00D24F23"/>
    <w:rsid w:val="00D83D8E"/>
    <w:rsid w:val="00D917E0"/>
    <w:rsid w:val="00E46C06"/>
    <w:rsid w:val="00E54818"/>
    <w:rsid w:val="00E76879"/>
    <w:rsid w:val="00EA0974"/>
    <w:rsid w:val="00EB1082"/>
    <w:rsid w:val="00F0394A"/>
    <w:rsid w:val="00F14308"/>
    <w:rsid w:val="00F86724"/>
    <w:rsid w:val="00F93A77"/>
    <w:rsid w:val="00FC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19520"/>
  <w15:chartTrackingRefBased/>
  <w15:docId w15:val="{B0FEE1C3-4FDF-42B6-8A76-5605B62F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rPr>
  </w:style>
  <w:style w:type="paragraph" w:styleId="Title">
    <w:name w:val="Title"/>
    <w:basedOn w:val="Normal"/>
    <w:qFormat/>
    <w:pPr>
      <w:jc w:val="center"/>
    </w:pPr>
    <w:rPr>
      <w:b/>
      <w:sz w:val="24"/>
      <w:lang w:val="en-US"/>
    </w:rPr>
  </w:style>
  <w:style w:type="paragraph" w:styleId="Subtitle">
    <w:name w:val="Subtitle"/>
    <w:basedOn w:val="Normal"/>
    <w:qFormat/>
    <w:pPr>
      <w:jc w:val="center"/>
    </w:pPr>
    <w:rPr>
      <w:b/>
      <w:lang w:val="en-US"/>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n-US"/>
    </w:rPr>
  </w:style>
  <w:style w:type="paragraph" w:styleId="BalloonText">
    <w:name w:val="Balloon Text"/>
    <w:basedOn w:val="Normal"/>
    <w:semiHidden/>
    <w:rsid w:val="00782D8D"/>
    <w:rPr>
      <w:rFonts w:ascii="Tahoma" w:hAnsi="Tahoma" w:cs="Tahoma"/>
      <w:sz w:val="16"/>
      <w:szCs w:val="16"/>
    </w:rPr>
  </w:style>
  <w:style w:type="character" w:styleId="FollowedHyperlink">
    <w:name w:val="FollowedHyperlink"/>
    <w:rsid w:val="00BF3BB1"/>
    <w:rPr>
      <w:color w:val="800080"/>
      <w:u w:val="single"/>
    </w:rPr>
  </w:style>
  <w:style w:type="character" w:customStyle="1" w:styleId="Heading1Char">
    <w:name w:val="Heading 1 Char"/>
    <w:basedOn w:val="DefaultParagraphFont"/>
    <w:link w:val="Heading1"/>
    <w:rsid w:val="00D12BC4"/>
    <w:rPr>
      <w:b/>
      <w:lang w:val="ru-RU"/>
    </w:rPr>
  </w:style>
  <w:style w:type="table" w:styleId="TableGrid">
    <w:name w:val="Table Grid"/>
    <w:basedOn w:val="TableNormal"/>
    <w:uiPriority w:val="59"/>
    <w:rsid w:val="002B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5A47E60C6D246A1B3127419E0995E" ma:contentTypeVersion="14" ma:contentTypeDescription="Create a new document." ma:contentTypeScope="" ma:versionID="a2af1e012e231379c16aa5174567964c">
  <xsd:schema xmlns:xsd="http://www.w3.org/2001/XMLSchema" xmlns:xs="http://www.w3.org/2001/XMLSchema" xmlns:p="http://schemas.microsoft.com/office/2006/metadata/properties" xmlns:ns2="1814606d-5151-4b77-9806-516eac62c10a" xmlns:ns3="6dd18fae-2c88-4b45-8f71-028743e01f48" targetNamespace="http://schemas.microsoft.com/office/2006/metadata/properties" ma:root="true" ma:fieldsID="72751ec06b83c7c26d178e5fd4469ed2" ns2:_="" ns3:_="">
    <xsd:import namespace="1814606d-5151-4b77-9806-516eac62c10a"/>
    <xsd:import namespace="6dd18fae-2c88-4b45-8f71-028743e01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Date" minOccurs="0"/>
                <xsd:element ref="ns2:ACHDC_x0023_" minOccurs="0"/>
                <xsd:element ref="ns2:Deposit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606d-5151-4b77-9806-516eac62c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7e97cc-a963-4fb4-9e14-54d9c475f51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ACHDC_x0023_" ma:index="18" nillable="true" ma:displayName="ACH DC #" ma:format="Dropdown" ma:internalName="ACHDC_x0023_">
      <xsd:simpleType>
        <xsd:restriction base="dms:Text">
          <xsd:maxLength value="255"/>
        </xsd:restriction>
      </xsd:simpleType>
    </xsd:element>
    <xsd:element name="DepositDate" ma:index="19" nillable="true" ma:displayName="Deposit Date" ma:format="DateOnly" ma:internalName="DepositDate">
      <xsd:simpleType>
        <xsd:restriction base="dms:DateTim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18fae-2c88-4b45-8f71-028743e01f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13cff6-f751-4c18-a3a8-30f9d86cabd7}" ma:internalName="TaxCatchAll" ma:showField="CatchAllData" ma:web="6dd18fae-2c88-4b45-8f71-028743e01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HDC_x0023_ xmlns="1814606d-5151-4b77-9806-516eac62c10a">EDITING PASSWORD = 2024EUCT</ACHDC_x0023_>
    <DepositDate xmlns="1814606d-5151-4b77-9806-516eac62c10a" xsi:nil="true"/>
    <Date xmlns="1814606d-5151-4b77-9806-516eac62c10a" xsi:nil="true"/>
    <lcf76f155ced4ddcb4097134ff3c332f xmlns="1814606d-5151-4b77-9806-516eac62c10a">
      <Terms xmlns="http://schemas.microsoft.com/office/infopath/2007/PartnerControls"/>
    </lcf76f155ced4ddcb4097134ff3c332f>
    <TaxCatchAll xmlns="6dd18fae-2c88-4b45-8f71-028743e01f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C64A3-A63B-4D02-A904-D8E224029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4606d-5151-4b77-9806-516eac62c10a"/>
    <ds:schemaRef ds:uri="6dd18fae-2c88-4b45-8f71-028743e01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14FF1-2291-49AA-844B-852182F4AC4A}">
  <ds:schemaRefs>
    <ds:schemaRef ds:uri="http://schemas.microsoft.com/office/2006/metadata/properties"/>
    <ds:schemaRef ds:uri="http://schemas.microsoft.com/office/infopath/2007/PartnerControls"/>
    <ds:schemaRef ds:uri="1814606d-5151-4b77-9806-516eac62c10a"/>
    <ds:schemaRef ds:uri="6dd18fae-2c88-4b45-8f71-028743e01f48"/>
  </ds:schemaRefs>
</ds:datastoreItem>
</file>

<file path=customXml/itemProps3.xml><?xml version="1.0" encoding="utf-8"?>
<ds:datastoreItem xmlns:ds="http://schemas.openxmlformats.org/officeDocument/2006/customXml" ds:itemID="{E375F40D-D11B-4A49-9E75-5527C2DE4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TELECOMMUNICATIONS RELAY SERVICE MONTHLY REPORT</vt:lpstr>
    </vt:vector>
  </TitlesOfParts>
  <Company>SCC</Company>
  <LinksUpToDate>false</LinksUpToDate>
  <CharactersWithSpaces>14978</CharactersWithSpaces>
  <SharedDoc>false</SharedDoc>
  <HLinks>
    <vt:vector size="6" baseType="variant">
      <vt:variant>
        <vt:i4>4063318</vt:i4>
      </vt:variant>
      <vt:variant>
        <vt:i4>0</vt:i4>
      </vt:variant>
      <vt:variant>
        <vt:i4>0</vt:i4>
      </vt:variant>
      <vt:variant>
        <vt:i4>5</vt:i4>
      </vt:variant>
      <vt:variant>
        <vt:lpwstr>mailto:pstmail@scc.virginia.gov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RELAY SERVICE MONTHLY REPORT</dc:title>
  <dc:subject/>
  <dc:creator>jcrump</dc:creator>
  <cp:keywords/>
  <cp:lastModifiedBy>Star M. Puaauli</cp:lastModifiedBy>
  <cp:revision>2</cp:revision>
  <cp:lastPrinted>2024-01-03T15:46:00Z</cp:lastPrinted>
  <dcterms:created xsi:type="dcterms:W3CDTF">2024-03-11T16:43:00Z</dcterms:created>
  <dcterms:modified xsi:type="dcterms:W3CDTF">2024-03-11T16:43:00Z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78d1b-6ed2-4706-b37d-344011273722_Enabled">
    <vt:lpwstr>true</vt:lpwstr>
  </property>
  <property fmtid="{D5CDD505-2E9C-101B-9397-08002B2CF9AE}" pid="3" name="MSIP_Label_46978d1b-6ed2-4706-b37d-344011273722_SetDate">
    <vt:lpwstr>2022-12-15T14:44:27Z</vt:lpwstr>
  </property>
  <property fmtid="{D5CDD505-2E9C-101B-9397-08002B2CF9AE}" pid="4" name="MSIP_Label_46978d1b-6ed2-4706-b37d-344011273722_Method">
    <vt:lpwstr>Privileged</vt:lpwstr>
  </property>
  <property fmtid="{D5CDD505-2E9C-101B-9397-08002B2CF9AE}" pid="5" name="MSIP_Label_46978d1b-6ed2-4706-b37d-344011273722_Name">
    <vt:lpwstr>46978d1b-6ed2-4706-b37d-344011273722</vt:lpwstr>
  </property>
  <property fmtid="{D5CDD505-2E9C-101B-9397-08002B2CF9AE}" pid="6" name="MSIP_Label_46978d1b-6ed2-4706-b37d-344011273722_SiteId">
    <vt:lpwstr>1791a7f1-2629-474f-8283-d4da7899c3be</vt:lpwstr>
  </property>
  <property fmtid="{D5CDD505-2E9C-101B-9397-08002B2CF9AE}" pid="7" name="MSIP_Label_46978d1b-6ed2-4706-b37d-344011273722_ActionId">
    <vt:lpwstr>3f2c7086-a560-4850-92a2-dd66edf1dd8f</vt:lpwstr>
  </property>
  <property fmtid="{D5CDD505-2E9C-101B-9397-08002B2CF9AE}" pid="8" name="MSIP_Label_46978d1b-6ed2-4706-b37d-344011273722_ContentBits">
    <vt:lpwstr>0</vt:lpwstr>
  </property>
  <property fmtid="{D5CDD505-2E9C-101B-9397-08002B2CF9AE}" pid="9" name="ContentTypeId">
    <vt:lpwstr>0x0101005F55A47E60C6D246A1B3127419E0995E</vt:lpwstr>
  </property>
  <property fmtid="{D5CDD505-2E9C-101B-9397-08002B2CF9AE}" pid="10" name="MediaServiceImageTags">
    <vt:lpwstr/>
  </property>
</Properties>
</file>