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1B843" w14:textId="38F3871F" w:rsidR="007970FB" w:rsidRPr="00577AE2" w:rsidRDefault="007970FB" w:rsidP="00A64E0C">
      <w:pPr>
        <w:ind w:left="-720" w:right="-720"/>
        <w:jc w:val="center"/>
        <w:rPr>
          <w:b/>
          <w:bCs/>
          <w:sz w:val="24"/>
        </w:rPr>
      </w:pPr>
      <w:r>
        <w:rPr>
          <w:b/>
          <w:bCs/>
          <w:noProof/>
          <w:sz w:val="24"/>
        </w:rPr>
        <w:drawing>
          <wp:inline distT="0" distB="0" distL="0" distR="0" wp14:anchorId="41EDBE61" wp14:editId="3189C3F1">
            <wp:extent cx="6858000" cy="1976804"/>
            <wp:effectExtent l="0" t="0" r="0" b="4445"/>
            <wp:docPr id="1" name="Picture 1" descr="Commonwealth of Virginia State Corporation Commission Public Service Taxation Letterhea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onwealth of Virginia State Corporation Commission Public Service Taxation Letterhead Imag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1976804"/>
                    </a:xfrm>
                    <a:prstGeom prst="rect">
                      <a:avLst/>
                    </a:prstGeom>
                  </pic:spPr>
                </pic:pic>
              </a:graphicData>
            </a:graphic>
          </wp:inline>
        </w:drawing>
      </w:r>
      <w:r w:rsidRPr="00577AE2">
        <w:rPr>
          <w:b/>
          <w:bCs/>
          <w:sz w:val="24"/>
        </w:rPr>
        <w:t>Natural Gas Consumption Tax Monthly Report</w:t>
      </w:r>
    </w:p>
    <w:p w14:paraId="5716B0B7" w14:textId="55754C93" w:rsidR="007970FB" w:rsidRDefault="007970FB" w:rsidP="00A64E0C">
      <w:pPr>
        <w:ind w:left="-720" w:right="-720"/>
        <w:jc w:val="center"/>
        <w:rPr>
          <w:b/>
          <w:bCs/>
        </w:rPr>
      </w:pPr>
      <w:r w:rsidRPr="00577AE2">
        <w:rPr>
          <w:b/>
          <w:bCs/>
        </w:rPr>
        <w:t>Pursuant to §§</w:t>
      </w:r>
      <w:r>
        <w:rPr>
          <w:b/>
          <w:bCs/>
        </w:rPr>
        <w:t xml:space="preserve"> </w:t>
      </w:r>
      <w:r w:rsidRPr="00577AE2">
        <w:rPr>
          <w:b/>
          <w:bCs/>
        </w:rPr>
        <w:t>58.1-2904 through 58.1-2907</w:t>
      </w:r>
    </w:p>
    <w:p w14:paraId="3AA49DE5" w14:textId="77777777" w:rsidR="007970FB" w:rsidRDefault="007970FB" w:rsidP="00A64E0C">
      <w:pPr>
        <w:ind w:left="-720" w:right="-720"/>
        <w:jc w:val="center"/>
        <w:rPr>
          <w:b/>
          <w:bCs/>
        </w:rPr>
      </w:pPr>
    </w:p>
    <w:p w14:paraId="1C86362C" w14:textId="77777777" w:rsidR="007970FB" w:rsidRPr="00577AE2" w:rsidRDefault="007970FB" w:rsidP="007970FB">
      <w:pPr>
        <w:jc w:val="cente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1348"/>
        <w:gridCol w:w="1710"/>
        <w:gridCol w:w="1800"/>
        <w:gridCol w:w="2160"/>
        <w:gridCol w:w="1700"/>
      </w:tblGrid>
      <w:tr w:rsidR="007970FB" w:rsidRPr="000A0E9A" w14:paraId="5096964A" w14:textId="77777777" w:rsidTr="000F4B61">
        <w:tc>
          <w:tcPr>
            <w:tcW w:w="632" w:type="dxa"/>
          </w:tcPr>
          <w:p w14:paraId="63D8F9B8" w14:textId="77777777" w:rsidR="007970FB" w:rsidRPr="000A0E9A" w:rsidRDefault="007970FB" w:rsidP="000F4B61">
            <w:pPr>
              <w:rPr>
                <w:sz w:val="22"/>
                <w:szCs w:val="22"/>
              </w:rPr>
            </w:pPr>
            <w:r w:rsidRPr="000A0E9A">
              <w:rPr>
                <w:sz w:val="22"/>
                <w:szCs w:val="22"/>
              </w:rPr>
              <w:t>Date</w:t>
            </w:r>
          </w:p>
        </w:tc>
        <w:tc>
          <w:tcPr>
            <w:tcW w:w="1348" w:type="dxa"/>
            <w:tcBorders>
              <w:bottom w:val="single" w:sz="4" w:space="0" w:color="auto"/>
            </w:tcBorders>
            <w:vAlign w:val="bottom"/>
          </w:tcPr>
          <w:p w14:paraId="15F0E97A" w14:textId="77777777" w:rsidR="007970FB" w:rsidRPr="000A0E9A" w:rsidRDefault="007970FB" w:rsidP="000F4B61">
            <w:pPr>
              <w:jc w:val="center"/>
              <w:rPr>
                <w:sz w:val="22"/>
                <w:szCs w:val="22"/>
              </w:rPr>
            </w:pPr>
            <w:r w:rsidRPr="000A0E9A">
              <w:rPr>
                <w:sz w:val="22"/>
                <w:szCs w:val="22"/>
              </w:rPr>
              <w:fldChar w:fldCharType="begin">
                <w:ffData>
                  <w:name w:val="Text1"/>
                  <w:enabled/>
                  <w:calcOnExit w:val="0"/>
                  <w:textInput/>
                </w:ffData>
              </w:fldChar>
            </w:r>
            <w:bookmarkStart w:id="0" w:name="Text1"/>
            <w:r w:rsidRPr="000A0E9A">
              <w:rPr>
                <w:sz w:val="22"/>
                <w:szCs w:val="22"/>
              </w:rPr>
              <w:instrText xml:space="preserve"> FORMTEXT </w:instrText>
            </w:r>
            <w:r w:rsidRPr="000A0E9A">
              <w:rPr>
                <w:sz w:val="22"/>
                <w:szCs w:val="22"/>
              </w:rPr>
            </w:r>
            <w:r w:rsidRPr="000A0E9A">
              <w:rPr>
                <w:sz w:val="22"/>
                <w:szCs w:val="22"/>
              </w:rPr>
              <w:fldChar w:fldCharType="separate"/>
            </w:r>
            <w:r w:rsidRPr="000A0E9A">
              <w:rPr>
                <w:noProof/>
                <w:sz w:val="22"/>
                <w:szCs w:val="22"/>
              </w:rPr>
              <w:t> </w:t>
            </w:r>
            <w:r w:rsidRPr="000A0E9A">
              <w:rPr>
                <w:noProof/>
                <w:sz w:val="22"/>
                <w:szCs w:val="22"/>
              </w:rPr>
              <w:t> </w:t>
            </w:r>
            <w:r w:rsidRPr="000A0E9A">
              <w:rPr>
                <w:noProof/>
                <w:sz w:val="22"/>
                <w:szCs w:val="22"/>
              </w:rPr>
              <w:t> </w:t>
            </w:r>
            <w:r w:rsidRPr="000A0E9A">
              <w:rPr>
                <w:noProof/>
                <w:sz w:val="22"/>
                <w:szCs w:val="22"/>
              </w:rPr>
              <w:t> </w:t>
            </w:r>
            <w:r w:rsidRPr="000A0E9A">
              <w:rPr>
                <w:noProof/>
                <w:sz w:val="22"/>
                <w:szCs w:val="22"/>
              </w:rPr>
              <w:t> </w:t>
            </w:r>
            <w:r w:rsidRPr="000A0E9A">
              <w:rPr>
                <w:sz w:val="22"/>
                <w:szCs w:val="22"/>
              </w:rPr>
              <w:fldChar w:fldCharType="end"/>
            </w:r>
            <w:bookmarkEnd w:id="0"/>
          </w:p>
        </w:tc>
        <w:tc>
          <w:tcPr>
            <w:tcW w:w="1710" w:type="dxa"/>
          </w:tcPr>
          <w:p w14:paraId="5639BACC" w14:textId="77777777" w:rsidR="007970FB" w:rsidRPr="000A0E9A" w:rsidRDefault="007970FB" w:rsidP="000F4B61">
            <w:pPr>
              <w:rPr>
                <w:sz w:val="22"/>
                <w:szCs w:val="22"/>
              </w:rPr>
            </w:pPr>
            <w:r w:rsidRPr="000A0E9A">
              <w:rPr>
                <w:sz w:val="22"/>
                <w:szCs w:val="22"/>
              </w:rPr>
              <w:t>Month of Billing</w:t>
            </w:r>
          </w:p>
        </w:tc>
        <w:tc>
          <w:tcPr>
            <w:tcW w:w="1800" w:type="dxa"/>
            <w:tcBorders>
              <w:bottom w:val="single" w:sz="4" w:space="0" w:color="auto"/>
            </w:tcBorders>
            <w:vAlign w:val="bottom"/>
          </w:tcPr>
          <w:p w14:paraId="7FBFF6E7" w14:textId="77777777" w:rsidR="007970FB" w:rsidRPr="000A0E9A" w:rsidRDefault="007970FB" w:rsidP="000F4B61">
            <w:pPr>
              <w:jc w:val="center"/>
              <w:rPr>
                <w:sz w:val="22"/>
                <w:szCs w:val="22"/>
              </w:rPr>
            </w:pPr>
            <w:r w:rsidRPr="000A0E9A">
              <w:rPr>
                <w:sz w:val="22"/>
                <w:szCs w:val="22"/>
              </w:rPr>
              <w:fldChar w:fldCharType="begin">
                <w:ffData>
                  <w:name w:val="Text2"/>
                  <w:enabled/>
                  <w:calcOnExit w:val="0"/>
                  <w:textInput/>
                </w:ffData>
              </w:fldChar>
            </w:r>
            <w:bookmarkStart w:id="1" w:name="Text2"/>
            <w:r w:rsidRPr="000A0E9A">
              <w:rPr>
                <w:sz w:val="22"/>
                <w:szCs w:val="22"/>
              </w:rPr>
              <w:instrText xml:space="preserve"> FORMTEXT </w:instrText>
            </w:r>
            <w:r w:rsidRPr="000A0E9A">
              <w:rPr>
                <w:sz w:val="22"/>
                <w:szCs w:val="22"/>
              </w:rPr>
            </w:r>
            <w:r w:rsidRPr="000A0E9A">
              <w:rPr>
                <w:sz w:val="22"/>
                <w:szCs w:val="22"/>
              </w:rPr>
              <w:fldChar w:fldCharType="separate"/>
            </w:r>
            <w:r w:rsidRPr="000A0E9A">
              <w:rPr>
                <w:noProof/>
                <w:sz w:val="22"/>
                <w:szCs w:val="22"/>
              </w:rPr>
              <w:t> </w:t>
            </w:r>
            <w:r w:rsidRPr="000A0E9A">
              <w:rPr>
                <w:noProof/>
                <w:sz w:val="22"/>
                <w:szCs w:val="22"/>
              </w:rPr>
              <w:t> </w:t>
            </w:r>
            <w:r w:rsidRPr="000A0E9A">
              <w:rPr>
                <w:noProof/>
                <w:sz w:val="22"/>
                <w:szCs w:val="22"/>
              </w:rPr>
              <w:t> </w:t>
            </w:r>
            <w:r w:rsidRPr="000A0E9A">
              <w:rPr>
                <w:noProof/>
                <w:sz w:val="22"/>
                <w:szCs w:val="22"/>
              </w:rPr>
              <w:t> </w:t>
            </w:r>
            <w:r w:rsidRPr="000A0E9A">
              <w:rPr>
                <w:noProof/>
                <w:sz w:val="22"/>
                <w:szCs w:val="22"/>
              </w:rPr>
              <w:t> </w:t>
            </w:r>
            <w:r w:rsidRPr="000A0E9A">
              <w:rPr>
                <w:sz w:val="22"/>
                <w:szCs w:val="22"/>
              </w:rPr>
              <w:fldChar w:fldCharType="end"/>
            </w:r>
            <w:bookmarkEnd w:id="1"/>
          </w:p>
        </w:tc>
        <w:tc>
          <w:tcPr>
            <w:tcW w:w="2160" w:type="dxa"/>
          </w:tcPr>
          <w:p w14:paraId="026FF11C" w14:textId="77777777" w:rsidR="007970FB" w:rsidRPr="000A0E9A" w:rsidRDefault="007970FB" w:rsidP="000F4B61">
            <w:pPr>
              <w:rPr>
                <w:sz w:val="22"/>
                <w:szCs w:val="22"/>
              </w:rPr>
            </w:pPr>
            <w:r w:rsidRPr="000A0E9A">
              <w:rPr>
                <w:sz w:val="22"/>
                <w:szCs w:val="22"/>
              </w:rPr>
              <w:t>Company ID Number</w:t>
            </w:r>
          </w:p>
        </w:tc>
        <w:tc>
          <w:tcPr>
            <w:tcW w:w="1700" w:type="dxa"/>
            <w:tcBorders>
              <w:bottom w:val="single" w:sz="4" w:space="0" w:color="auto"/>
            </w:tcBorders>
            <w:vAlign w:val="bottom"/>
          </w:tcPr>
          <w:p w14:paraId="1B8175F2" w14:textId="77777777" w:rsidR="007970FB" w:rsidRPr="000A0E9A" w:rsidRDefault="007970FB" w:rsidP="000F4B61">
            <w:pPr>
              <w:jc w:val="center"/>
              <w:rPr>
                <w:sz w:val="22"/>
                <w:szCs w:val="22"/>
              </w:rPr>
            </w:pPr>
            <w:r w:rsidRPr="000A0E9A">
              <w:rPr>
                <w:sz w:val="22"/>
                <w:szCs w:val="22"/>
              </w:rPr>
              <w:fldChar w:fldCharType="begin">
                <w:ffData>
                  <w:name w:val="Text3"/>
                  <w:enabled/>
                  <w:calcOnExit w:val="0"/>
                  <w:textInput>
                    <w:default w:val="(SCC assigned)"/>
                  </w:textInput>
                </w:ffData>
              </w:fldChar>
            </w:r>
            <w:bookmarkStart w:id="2" w:name="Text3"/>
            <w:r w:rsidRPr="000A0E9A">
              <w:rPr>
                <w:sz w:val="22"/>
                <w:szCs w:val="22"/>
              </w:rPr>
              <w:instrText xml:space="preserve"> FORMTEXT </w:instrText>
            </w:r>
            <w:r w:rsidRPr="000A0E9A">
              <w:rPr>
                <w:sz w:val="22"/>
                <w:szCs w:val="22"/>
              </w:rPr>
            </w:r>
            <w:r w:rsidRPr="000A0E9A">
              <w:rPr>
                <w:sz w:val="22"/>
                <w:szCs w:val="22"/>
              </w:rPr>
              <w:fldChar w:fldCharType="separate"/>
            </w:r>
            <w:r w:rsidRPr="000A0E9A">
              <w:rPr>
                <w:noProof/>
                <w:sz w:val="22"/>
                <w:szCs w:val="22"/>
              </w:rPr>
              <w:t>(SCC assigned)</w:t>
            </w:r>
            <w:r w:rsidRPr="000A0E9A">
              <w:rPr>
                <w:sz w:val="22"/>
                <w:szCs w:val="22"/>
              </w:rPr>
              <w:fldChar w:fldCharType="end"/>
            </w:r>
            <w:bookmarkEnd w:id="2"/>
          </w:p>
        </w:tc>
      </w:tr>
    </w:tbl>
    <w:p w14:paraId="3C106967" w14:textId="77777777" w:rsidR="007970FB" w:rsidRDefault="007970FB" w:rsidP="007970FB"/>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8"/>
        <w:gridCol w:w="4536"/>
      </w:tblGrid>
      <w:tr w:rsidR="007970FB" w14:paraId="7B4F6788" w14:textId="77777777" w:rsidTr="000F4B61">
        <w:tc>
          <w:tcPr>
            <w:tcW w:w="4536" w:type="dxa"/>
            <w:tcBorders>
              <w:bottom w:val="single" w:sz="4" w:space="0" w:color="auto"/>
            </w:tcBorders>
            <w:vAlign w:val="bottom"/>
          </w:tcPr>
          <w:p w14:paraId="5CA86A0F" w14:textId="77777777" w:rsidR="007970FB" w:rsidRDefault="007970FB" w:rsidP="000F4B61">
            <w:pPr>
              <w:jc w:val="center"/>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88" w:type="dxa"/>
          </w:tcPr>
          <w:p w14:paraId="43F9B2E4" w14:textId="77777777" w:rsidR="007970FB" w:rsidRDefault="007970FB" w:rsidP="000F4B61"/>
        </w:tc>
        <w:tc>
          <w:tcPr>
            <w:tcW w:w="4536" w:type="dxa"/>
            <w:tcBorders>
              <w:bottom w:val="single" w:sz="4" w:space="0" w:color="auto"/>
            </w:tcBorders>
            <w:vAlign w:val="bottom"/>
          </w:tcPr>
          <w:p w14:paraId="5D50AED1" w14:textId="77777777" w:rsidR="007970FB" w:rsidRDefault="007970FB" w:rsidP="000F4B61">
            <w:pPr>
              <w:jc w:val="center"/>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7970FB" w14:paraId="23A02D05" w14:textId="77777777" w:rsidTr="000F4B61">
        <w:tc>
          <w:tcPr>
            <w:tcW w:w="4536" w:type="dxa"/>
            <w:tcBorders>
              <w:top w:val="single" w:sz="4" w:space="0" w:color="auto"/>
            </w:tcBorders>
          </w:tcPr>
          <w:p w14:paraId="3043C3EB" w14:textId="77777777" w:rsidR="007970FB" w:rsidRDefault="007970FB" w:rsidP="000F4B61">
            <w:pPr>
              <w:jc w:val="center"/>
            </w:pPr>
            <w:r w:rsidRPr="00577AE2">
              <w:rPr>
                <w:sz w:val="16"/>
                <w:szCs w:val="18"/>
              </w:rPr>
              <w:t>(S</w:t>
            </w:r>
            <w:r>
              <w:rPr>
                <w:sz w:val="16"/>
                <w:szCs w:val="18"/>
              </w:rPr>
              <w:t>ervice Provider</w:t>
            </w:r>
            <w:r w:rsidRPr="00577AE2">
              <w:rPr>
                <w:sz w:val="16"/>
                <w:szCs w:val="18"/>
              </w:rPr>
              <w:t>)</w:t>
            </w:r>
          </w:p>
        </w:tc>
        <w:tc>
          <w:tcPr>
            <w:tcW w:w="288" w:type="dxa"/>
          </w:tcPr>
          <w:p w14:paraId="32BFDD6C" w14:textId="77777777" w:rsidR="007970FB" w:rsidRDefault="007970FB" w:rsidP="000F4B61"/>
        </w:tc>
        <w:tc>
          <w:tcPr>
            <w:tcW w:w="4536" w:type="dxa"/>
            <w:tcBorders>
              <w:top w:val="single" w:sz="4" w:space="0" w:color="auto"/>
            </w:tcBorders>
          </w:tcPr>
          <w:p w14:paraId="059E43EA" w14:textId="77777777" w:rsidR="007970FB" w:rsidRDefault="007970FB" w:rsidP="000F4B61">
            <w:pPr>
              <w:jc w:val="center"/>
            </w:pPr>
            <w:r w:rsidRPr="00577AE2">
              <w:rPr>
                <w:sz w:val="16"/>
                <w:szCs w:val="18"/>
              </w:rPr>
              <w:t>(</w:t>
            </w:r>
            <w:r>
              <w:rPr>
                <w:sz w:val="16"/>
                <w:szCs w:val="18"/>
              </w:rPr>
              <w:t>Contact Person</w:t>
            </w:r>
            <w:r w:rsidRPr="00577AE2">
              <w:rPr>
                <w:sz w:val="16"/>
                <w:szCs w:val="18"/>
              </w:rPr>
              <w:t>)</w:t>
            </w:r>
          </w:p>
        </w:tc>
      </w:tr>
      <w:tr w:rsidR="007970FB" w14:paraId="7D9E7F46" w14:textId="77777777" w:rsidTr="000F4B61">
        <w:tc>
          <w:tcPr>
            <w:tcW w:w="4536" w:type="dxa"/>
            <w:tcBorders>
              <w:bottom w:val="single" w:sz="4" w:space="0" w:color="auto"/>
            </w:tcBorders>
            <w:vAlign w:val="bottom"/>
          </w:tcPr>
          <w:p w14:paraId="52EBD775" w14:textId="77777777" w:rsidR="007970FB" w:rsidRDefault="007970FB" w:rsidP="000F4B61">
            <w:pPr>
              <w:jc w:val="center"/>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88" w:type="dxa"/>
          </w:tcPr>
          <w:p w14:paraId="3CB577A6" w14:textId="77777777" w:rsidR="007970FB" w:rsidRDefault="007970FB" w:rsidP="000F4B61"/>
        </w:tc>
        <w:tc>
          <w:tcPr>
            <w:tcW w:w="4536" w:type="dxa"/>
            <w:tcBorders>
              <w:bottom w:val="single" w:sz="4" w:space="0" w:color="auto"/>
            </w:tcBorders>
            <w:vAlign w:val="bottom"/>
          </w:tcPr>
          <w:p w14:paraId="18BBF479" w14:textId="77777777" w:rsidR="007970FB" w:rsidRDefault="007970FB" w:rsidP="000F4B61">
            <w:pPr>
              <w:jc w:val="center"/>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7970FB" w14:paraId="43F2BA1A" w14:textId="77777777" w:rsidTr="000F4B61">
        <w:tc>
          <w:tcPr>
            <w:tcW w:w="4536" w:type="dxa"/>
            <w:tcBorders>
              <w:top w:val="single" w:sz="4" w:space="0" w:color="auto"/>
            </w:tcBorders>
          </w:tcPr>
          <w:p w14:paraId="44859EE9" w14:textId="77777777" w:rsidR="007970FB" w:rsidRDefault="007970FB" w:rsidP="000F4B61">
            <w:pPr>
              <w:jc w:val="center"/>
            </w:pPr>
            <w:r w:rsidRPr="00577AE2">
              <w:rPr>
                <w:sz w:val="16"/>
                <w:szCs w:val="18"/>
              </w:rPr>
              <w:t>(</w:t>
            </w:r>
            <w:r>
              <w:rPr>
                <w:sz w:val="16"/>
                <w:szCs w:val="18"/>
              </w:rPr>
              <w:t>Address</w:t>
            </w:r>
            <w:r w:rsidRPr="00577AE2">
              <w:rPr>
                <w:sz w:val="16"/>
                <w:szCs w:val="18"/>
              </w:rPr>
              <w:t>)</w:t>
            </w:r>
          </w:p>
        </w:tc>
        <w:tc>
          <w:tcPr>
            <w:tcW w:w="288" w:type="dxa"/>
          </w:tcPr>
          <w:p w14:paraId="552E1B7F" w14:textId="77777777" w:rsidR="007970FB" w:rsidRDefault="007970FB" w:rsidP="000F4B61"/>
        </w:tc>
        <w:tc>
          <w:tcPr>
            <w:tcW w:w="4536" w:type="dxa"/>
            <w:tcBorders>
              <w:top w:val="single" w:sz="4" w:space="0" w:color="auto"/>
            </w:tcBorders>
          </w:tcPr>
          <w:p w14:paraId="64E1C295" w14:textId="77777777" w:rsidR="007970FB" w:rsidRDefault="007970FB" w:rsidP="000F4B61">
            <w:pPr>
              <w:jc w:val="center"/>
            </w:pPr>
            <w:r w:rsidRPr="00577AE2">
              <w:rPr>
                <w:sz w:val="16"/>
                <w:szCs w:val="18"/>
              </w:rPr>
              <w:t>(</w:t>
            </w:r>
            <w:r>
              <w:rPr>
                <w:sz w:val="16"/>
                <w:szCs w:val="18"/>
              </w:rPr>
              <w:t>City, State, Zip Code</w:t>
            </w:r>
            <w:r w:rsidRPr="00577AE2">
              <w:rPr>
                <w:sz w:val="16"/>
                <w:szCs w:val="18"/>
              </w:rPr>
              <w:t>)</w:t>
            </w:r>
          </w:p>
        </w:tc>
      </w:tr>
    </w:tbl>
    <w:p w14:paraId="51DA4778" w14:textId="77777777" w:rsidR="007970FB" w:rsidRDefault="007970FB" w:rsidP="007970FB"/>
    <w:p w14:paraId="3DF4A022" w14:textId="77777777" w:rsidR="007970FB" w:rsidRPr="00577AE2" w:rsidRDefault="007970FB" w:rsidP="007970FB">
      <w:pPr>
        <w:jc w:val="center"/>
        <w:rPr>
          <w:b/>
          <w:bCs/>
        </w:rPr>
      </w:pPr>
      <w:r w:rsidRPr="00577AE2">
        <w:rPr>
          <w:b/>
          <w:bCs/>
        </w:rPr>
        <w:t>Monthly Billing</w:t>
      </w:r>
    </w:p>
    <w:tbl>
      <w:tblPr>
        <w:tblStyle w:val="TableGrid"/>
        <w:tblW w:w="9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0"/>
        <w:gridCol w:w="2030"/>
        <w:gridCol w:w="144"/>
        <w:gridCol w:w="2275"/>
        <w:gridCol w:w="144"/>
        <w:gridCol w:w="2275"/>
      </w:tblGrid>
      <w:tr w:rsidR="007970FB" w:rsidRPr="000A0E9A" w14:paraId="1B69CF54" w14:textId="77777777" w:rsidTr="000F4B61">
        <w:tc>
          <w:tcPr>
            <w:tcW w:w="2520" w:type="dxa"/>
          </w:tcPr>
          <w:p w14:paraId="6CB01483" w14:textId="77777777" w:rsidR="007970FB" w:rsidRPr="000A0E9A" w:rsidRDefault="007970FB" w:rsidP="000F4B61">
            <w:pPr>
              <w:jc w:val="center"/>
              <w:rPr>
                <w:sz w:val="22"/>
                <w:szCs w:val="22"/>
              </w:rPr>
            </w:pPr>
          </w:p>
        </w:tc>
        <w:tc>
          <w:tcPr>
            <w:tcW w:w="2030" w:type="dxa"/>
          </w:tcPr>
          <w:p w14:paraId="3A0FCF77" w14:textId="77777777" w:rsidR="007970FB" w:rsidRPr="000A0E9A" w:rsidRDefault="007970FB" w:rsidP="000F4B61">
            <w:pPr>
              <w:jc w:val="center"/>
              <w:rPr>
                <w:sz w:val="22"/>
                <w:szCs w:val="22"/>
              </w:rPr>
            </w:pPr>
          </w:p>
          <w:p w14:paraId="0B96D509" w14:textId="77777777" w:rsidR="007970FB" w:rsidRPr="000A0E9A" w:rsidRDefault="007970FB" w:rsidP="000F4B61">
            <w:pPr>
              <w:jc w:val="center"/>
              <w:rPr>
                <w:sz w:val="22"/>
                <w:szCs w:val="22"/>
              </w:rPr>
            </w:pPr>
            <w:r w:rsidRPr="000A0E9A">
              <w:rPr>
                <w:sz w:val="22"/>
                <w:szCs w:val="22"/>
              </w:rPr>
              <w:t>Total</w:t>
            </w:r>
          </w:p>
          <w:p w14:paraId="347774B7" w14:textId="77777777" w:rsidR="007970FB" w:rsidRPr="000A0E9A" w:rsidRDefault="007970FB" w:rsidP="000F4B61">
            <w:pPr>
              <w:jc w:val="center"/>
              <w:rPr>
                <w:sz w:val="22"/>
                <w:szCs w:val="22"/>
              </w:rPr>
            </w:pPr>
            <w:r w:rsidRPr="000A0E9A">
              <w:rPr>
                <w:sz w:val="22"/>
                <w:szCs w:val="22"/>
              </w:rPr>
              <w:t>CCF</w:t>
            </w:r>
          </w:p>
          <w:p w14:paraId="65C55E07" w14:textId="77777777" w:rsidR="007970FB" w:rsidRPr="000A0E9A" w:rsidRDefault="007970FB" w:rsidP="000F4B61">
            <w:pPr>
              <w:jc w:val="center"/>
              <w:rPr>
                <w:sz w:val="22"/>
                <w:szCs w:val="22"/>
              </w:rPr>
            </w:pPr>
            <w:r w:rsidRPr="000A0E9A">
              <w:rPr>
                <w:sz w:val="22"/>
                <w:szCs w:val="22"/>
              </w:rPr>
              <w:t>Billed</w:t>
            </w:r>
          </w:p>
        </w:tc>
        <w:tc>
          <w:tcPr>
            <w:tcW w:w="144" w:type="dxa"/>
          </w:tcPr>
          <w:p w14:paraId="5FB532AB" w14:textId="77777777" w:rsidR="007970FB" w:rsidRPr="000A0E9A" w:rsidRDefault="007970FB" w:rsidP="000F4B61">
            <w:pPr>
              <w:jc w:val="center"/>
              <w:rPr>
                <w:sz w:val="22"/>
                <w:szCs w:val="22"/>
              </w:rPr>
            </w:pPr>
          </w:p>
        </w:tc>
        <w:tc>
          <w:tcPr>
            <w:tcW w:w="2275" w:type="dxa"/>
          </w:tcPr>
          <w:p w14:paraId="4565BB30" w14:textId="77777777" w:rsidR="007970FB" w:rsidRPr="000A0E9A" w:rsidRDefault="007970FB" w:rsidP="000F4B61">
            <w:pPr>
              <w:jc w:val="center"/>
              <w:rPr>
                <w:sz w:val="22"/>
                <w:szCs w:val="22"/>
              </w:rPr>
            </w:pPr>
          </w:p>
          <w:p w14:paraId="6ACAFDF2" w14:textId="77777777" w:rsidR="007970FB" w:rsidRPr="000A0E9A" w:rsidRDefault="007970FB" w:rsidP="000F4B61">
            <w:pPr>
              <w:jc w:val="center"/>
              <w:rPr>
                <w:sz w:val="22"/>
                <w:szCs w:val="22"/>
              </w:rPr>
            </w:pPr>
            <w:r w:rsidRPr="000A0E9A">
              <w:rPr>
                <w:sz w:val="22"/>
                <w:szCs w:val="22"/>
              </w:rPr>
              <w:t>State Consumption</w:t>
            </w:r>
          </w:p>
          <w:p w14:paraId="087D2122" w14:textId="77777777" w:rsidR="007970FB" w:rsidRPr="000A0E9A" w:rsidRDefault="007970FB" w:rsidP="000F4B61">
            <w:pPr>
              <w:jc w:val="center"/>
              <w:rPr>
                <w:sz w:val="22"/>
                <w:szCs w:val="22"/>
              </w:rPr>
            </w:pPr>
            <w:r w:rsidRPr="000A0E9A">
              <w:rPr>
                <w:sz w:val="22"/>
                <w:szCs w:val="22"/>
              </w:rPr>
              <w:t>Tax Rate</w:t>
            </w:r>
          </w:p>
          <w:p w14:paraId="436CBE56" w14:textId="77777777" w:rsidR="007970FB" w:rsidRPr="000A0E9A" w:rsidRDefault="007970FB" w:rsidP="000F4B61">
            <w:pPr>
              <w:jc w:val="center"/>
              <w:rPr>
                <w:sz w:val="22"/>
                <w:szCs w:val="22"/>
              </w:rPr>
            </w:pPr>
            <w:r w:rsidRPr="000A0E9A">
              <w:rPr>
                <w:sz w:val="22"/>
                <w:szCs w:val="22"/>
              </w:rPr>
              <w:t>($0.0135 per CCF)</w:t>
            </w:r>
          </w:p>
        </w:tc>
        <w:tc>
          <w:tcPr>
            <w:tcW w:w="144" w:type="dxa"/>
          </w:tcPr>
          <w:p w14:paraId="3DCED0CB" w14:textId="77777777" w:rsidR="007970FB" w:rsidRPr="000A0E9A" w:rsidRDefault="007970FB" w:rsidP="000F4B61">
            <w:pPr>
              <w:jc w:val="center"/>
              <w:rPr>
                <w:sz w:val="22"/>
                <w:szCs w:val="22"/>
              </w:rPr>
            </w:pPr>
          </w:p>
        </w:tc>
        <w:tc>
          <w:tcPr>
            <w:tcW w:w="2275" w:type="dxa"/>
          </w:tcPr>
          <w:p w14:paraId="422CD6A2" w14:textId="77777777" w:rsidR="007970FB" w:rsidRPr="000A0E9A" w:rsidRDefault="007970FB" w:rsidP="000F4B61">
            <w:pPr>
              <w:jc w:val="center"/>
              <w:rPr>
                <w:sz w:val="22"/>
                <w:szCs w:val="22"/>
              </w:rPr>
            </w:pPr>
          </w:p>
          <w:p w14:paraId="4D32EB5A" w14:textId="77777777" w:rsidR="007970FB" w:rsidRPr="000A0E9A" w:rsidRDefault="007970FB" w:rsidP="000F4B61">
            <w:pPr>
              <w:jc w:val="center"/>
              <w:rPr>
                <w:sz w:val="22"/>
                <w:szCs w:val="22"/>
              </w:rPr>
            </w:pPr>
            <w:r w:rsidRPr="000A0E9A">
              <w:rPr>
                <w:sz w:val="22"/>
                <w:szCs w:val="22"/>
              </w:rPr>
              <w:t>Special Regulatory</w:t>
            </w:r>
          </w:p>
          <w:p w14:paraId="357BC81E" w14:textId="77777777" w:rsidR="007970FB" w:rsidRPr="000A0E9A" w:rsidRDefault="007970FB" w:rsidP="000F4B61">
            <w:pPr>
              <w:jc w:val="center"/>
              <w:rPr>
                <w:sz w:val="22"/>
                <w:szCs w:val="22"/>
              </w:rPr>
            </w:pPr>
            <w:r w:rsidRPr="000A0E9A">
              <w:rPr>
                <w:sz w:val="22"/>
                <w:szCs w:val="22"/>
              </w:rPr>
              <w:t>Tax Rate</w:t>
            </w:r>
          </w:p>
          <w:p w14:paraId="68B8FA5E" w14:textId="77777777" w:rsidR="007970FB" w:rsidRPr="000A0E9A" w:rsidRDefault="007970FB" w:rsidP="000F4B61">
            <w:pPr>
              <w:jc w:val="center"/>
              <w:rPr>
                <w:sz w:val="22"/>
                <w:szCs w:val="22"/>
              </w:rPr>
            </w:pPr>
            <w:r w:rsidRPr="000A0E9A">
              <w:rPr>
                <w:sz w:val="22"/>
                <w:szCs w:val="22"/>
              </w:rPr>
              <w:t>($0.0022 per CCF)</w:t>
            </w:r>
          </w:p>
        </w:tc>
      </w:tr>
      <w:tr w:rsidR="007970FB" w:rsidRPr="000A0E9A" w14:paraId="6BC8048C" w14:textId="77777777" w:rsidTr="000F4B61">
        <w:tc>
          <w:tcPr>
            <w:tcW w:w="2520" w:type="dxa"/>
          </w:tcPr>
          <w:p w14:paraId="45438190" w14:textId="77777777" w:rsidR="007970FB" w:rsidRPr="000A0E9A" w:rsidRDefault="007970FB" w:rsidP="000F4B61">
            <w:pPr>
              <w:jc w:val="center"/>
              <w:rPr>
                <w:sz w:val="22"/>
                <w:szCs w:val="22"/>
              </w:rPr>
            </w:pPr>
          </w:p>
          <w:p w14:paraId="49CE460E" w14:textId="77777777" w:rsidR="007970FB" w:rsidRPr="000A0E9A" w:rsidRDefault="007970FB" w:rsidP="000F4B61">
            <w:pPr>
              <w:jc w:val="center"/>
              <w:rPr>
                <w:sz w:val="22"/>
                <w:szCs w:val="22"/>
              </w:rPr>
            </w:pPr>
            <w:r w:rsidRPr="000A0E9A">
              <w:rPr>
                <w:sz w:val="22"/>
                <w:szCs w:val="22"/>
              </w:rPr>
              <w:t>Total Number of CCF</w:t>
            </w:r>
          </w:p>
        </w:tc>
        <w:tc>
          <w:tcPr>
            <w:tcW w:w="2030" w:type="dxa"/>
            <w:tcBorders>
              <w:bottom w:val="single" w:sz="4" w:space="0" w:color="auto"/>
            </w:tcBorders>
            <w:vAlign w:val="bottom"/>
          </w:tcPr>
          <w:p w14:paraId="096271A3" w14:textId="77777777" w:rsidR="007970FB" w:rsidRPr="000A0E9A" w:rsidRDefault="007970FB" w:rsidP="000F4B61">
            <w:pPr>
              <w:jc w:val="center"/>
              <w:rPr>
                <w:sz w:val="22"/>
                <w:szCs w:val="22"/>
              </w:rPr>
            </w:pPr>
            <w:r w:rsidRPr="000A0E9A">
              <w:rPr>
                <w:sz w:val="22"/>
                <w:szCs w:val="22"/>
              </w:rPr>
              <w:fldChar w:fldCharType="begin">
                <w:ffData>
                  <w:name w:val="Text8"/>
                  <w:enabled/>
                  <w:calcOnExit w:val="0"/>
                  <w:textInput/>
                </w:ffData>
              </w:fldChar>
            </w:r>
            <w:bookmarkStart w:id="7" w:name="Text8"/>
            <w:r w:rsidRPr="000A0E9A">
              <w:rPr>
                <w:sz w:val="22"/>
                <w:szCs w:val="22"/>
              </w:rPr>
              <w:instrText xml:space="preserve"> FORMTEXT </w:instrText>
            </w:r>
            <w:r w:rsidRPr="000A0E9A">
              <w:rPr>
                <w:sz w:val="22"/>
                <w:szCs w:val="22"/>
              </w:rPr>
            </w:r>
            <w:r w:rsidRPr="000A0E9A">
              <w:rPr>
                <w:sz w:val="22"/>
                <w:szCs w:val="22"/>
              </w:rPr>
              <w:fldChar w:fldCharType="separate"/>
            </w:r>
            <w:r w:rsidRPr="000A0E9A">
              <w:rPr>
                <w:noProof/>
                <w:sz w:val="22"/>
                <w:szCs w:val="22"/>
              </w:rPr>
              <w:t> </w:t>
            </w:r>
            <w:r w:rsidRPr="000A0E9A">
              <w:rPr>
                <w:noProof/>
                <w:sz w:val="22"/>
                <w:szCs w:val="22"/>
              </w:rPr>
              <w:t> </w:t>
            </w:r>
            <w:r w:rsidRPr="000A0E9A">
              <w:rPr>
                <w:noProof/>
                <w:sz w:val="22"/>
                <w:szCs w:val="22"/>
              </w:rPr>
              <w:t> </w:t>
            </w:r>
            <w:r w:rsidRPr="000A0E9A">
              <w:rPr>
                <w:noProof/>
                <w:sz w:val="22"/>
                <w:szCs w:val="22"/>
              </w:rPr>
              <w:t> </w:t>
            </w:r>
            <w:r w:rsidRPr="000A0E9A">
              <w:rPr>
                <w:noProof/>
                <w:sz w:val="22"/>
                <w:szCs w:val="22"/>
              </w:rPr>
              <w:t> </w:t>
            </w:r>
            <w:r w:rsidRPr="000A0E9A">
              <w:rPr>
                <w:sz w:val="22"/>
                <w:szCs w:val="22"/>
              </w:rPr>
              <w:fldChar w:fldCharType="end"/>
            </w:r>
            <w:bookmarkEnd w:id="7"/>
          </w:p>
        </w:tc>
        <w:tc>
          <w:tcPr>
            <w:tcW w:w="144" w:type="dxa"/>
          </w:tcPr>
          <w:p w14:paraId="20AE38EF" w14:textId="77777777" w:rsidR="007970FB" w:rsidRPr="000A0E9A" w:rsidRDefault="007970FB" w:rsidP="000F4B61">
            <w:pPr>
              <w:rPr>
                <w:sz w:val="22"/>
                <w:szCs w:val="22"/>
              </w:rPr>
            </w:pPr>
          </w:p>
        </w:tc>
        <w:tc>
          <w:tcPr>
            <w:tcW w:w="2275" w:type="dxa"/>
            <w:tcBorders>
              <w:bottom w:val="single" w:sz="4" w:space="0" w:color="auto"/>
            </w:tcBorders>
            <w:vAlign w:val="bottom"/>
          </w:tcPr>
          <w:p w14:paraId="56CADD93" w14:textId="77777777" w:rsidR="007970FB" w:rsidRPr="000A0E9A" w:rsidRDefault="007970FB" w:rsidP="000F4B61">
            <w:pPr>
              <w:jc w:val="center"/>
              <w:rPr>
                <w:sz w:val="22"/>
                <w:szCs w:val="22"/>
              </w:rPr>
            </w:pPr>
            <w:r w:rsidRPr="000A0E9A">
              <w:rPr>
                <w:sz w:val="22"/>
                <w:szCs w:val="22"/>
              </w:rPr>
              <w:fldChar w:fldCharType="begin">
                <w:ffData>
                  <w:name w:val="Text9"/>
                  <w:enabled/>
                  <w:calcOnExit w:val="0"/>
                  <w:textInput/>
                </w:ffData>
              </w:fldChar>
            </w:r>
            <w:bookmarkStart w:id="8" w:name="Text9"/>
            <w:r w:rsidRPr="000A0E9A">
              <w:rPr>
                <w:sz w:val="22"/>
                <w:szCs w:val="22"/>
              </w:rPr>
              <w:instrText xml:space="preserve"> FORMTEXT </w:instrText>
            </w:r>
            <w:r w:rsidRPr="000A0E9A">
              <w:rPr>
                <w:sz w:val="22"/>
                <w:szCs w:val="22"/>
              </w:rPr>
            </w:r>
            <w:r w:rsidRPr="000A0E9A">
              <w:rPr>
                <w:sz w:val="22"/>
                <w:szCs w:val="22"/>
              </w:rPr>
              <w:fldChar w:fldCharType="separate"/>
            </w:r>
            <w:r w:rsidRPr="000A0E9A">
              <w:rPr>
                <w:noProof/>
                <w:sz w:val="22"/>
                <w:szCs w:val="22"/>
              </w:rPr>
              <w:t> </w:t>
            </w:r>
            <w:r w:rsidRPr="000A0E9A">
              <w:rPr>
                <w:noProof/>
                <w:sz w:val="22"/>
                <w:szCs w:val="22"/>
              </w:rPr>
              <w:t> </w:t>
            </w:r>
            <w:r w:rsidRPr="000A0E9A">
              <w:rPr>
                <w:noProof/>
                <w:sz w:val="22"/>
                <w:szCs w:val="22"/>
              </w:rPr>
              <w:t> </w:t>
            </w:r>
            <w:r w:rsidRPr="000A0E9A">
              <w:rPr>
                <w:noProof/>
                <w:sz w:val="22"/>
                <w:szCs w:val="22"/>
              </w:rPr>
              <w:t> </w:t>
            </w:r>
            <w:r w:rsidRPr="000A0E9A">
              <w:rPr>
                <w:noProof/>
                <w:sz w:val="22"/>
                <w:szCs w:val="22"/>
              </w:rPr>
              <w:t> </w:t>
            </w:r>
            <w:r w:rsidRPr="000A0E9A">
              <w:rPr>
                <w:sz w:val="22"/>
                <w:szCs w:val="22"/>
              </w:rPr>
              <w:fldChar w:fldCharType="end"/>
            </w:r>
            <w:bookmarkEnd w:id="8"/>
          </w:p>
        </w:tc>
        <w:tc>
          <w:tcPr>
            <w:tcW w:w="144" w:type="dxa"/>
          </w:tcPr>
          <w:p w14:paraId="3FA32572" w14:textId="77777777" w:rsidR="007970FB" w:rsidRPr="000A0E9A" w:rsidRDefault="007970FB" w:rsidP="000F4B61">
            <w:pPr>
              <w:rPr>
                <w:sz w:val="22"/>
                <w:szCs w:val="22"/>
              </w:rPr>
            </w:pPr>
          </w:p>
        </w:tc>
        <w:tc>
          <w:tcPr>
            <w:tcW w:w="2275" w:type="dxa"/>
            <w:tcBorders>
              <w:bottom w:val="single" w:sz="4" w:space="0" w:color="auto"/>
            </w:tcBorders>
            <w:vAlign w:val="bottom"/>
          </w:tcPr>
          <w:p w14:paraId="70E06678" w14:textId="77777777" w:rsidR="007970FB" w:rsidRPr="000A0E9A" w:rsidRDefault="007970FB" w:rsidP="000F4B61">
            <w:pPr>
              <w:jc w:val="center"/>
              <w:rPr>
                <w:sz w:val="22"/>
                <w:szCs w:val="22"/>
              </w:rPr>
            </w:pPr>
            <w:r w:rsidRPr="000A0E9A">
              <w:rPr>
                <w:sz w:val="22"/>
                <w:szCs w:val="22"/>
              </w:rPr>
              <w:fldChar w:fldCharType="begin">
                <w:ffData>
                  <w:name w:val="Text10"/>
                  <w:enabled/>
                  <w:calcOnExit w:val="0"/>
                  <w:textInput/>
                </w:ffData>
              </w:fldChar>
            </w:r>
            <w:bookmarkStart w:id="9" w:name="Text10"/>
            <w:r w:rsidRPr="000A0E9A">
              <w:rPr>
                <w:sz w:val="22"/>
                <w:szCs w:val="22"/>
              </w:rPr>
              <w:instrText xml:space="preserve"> FORMTEXT </w:instrText>
            </w:r>
            <w:r w:rsidRPr="000A0E9A">
              <w:rPr>
                <w:sz w:val="22"/>
                <w:szCs w:val="22"/>
              </w:rPr>
            </w:r>
            <w:r w:rsidRPr="000A0E9A">
              <w:rPr>
                <w:sz w:val="22"/>
                <w:szCs w:val="22"/>
              </w:rPr>
              <w:fldChar w:fldCharType="separate"/>
            </w:r>
            <w:r w:rsidRPr="000A0E9A">
              <w:rPr>
                <w:noProof/>
                <w:sz w:val="22"/>
                <w:szCs w:val="22"/>
              </w:rPr>
              <w:t> </w:t>
            </w:r>
            <w:r w:rsidRPr="000A0E9A">
              <w:rPr>
                <w:noProof/>
                <w:sz w:val="22"/>
                <w:szCs w:val="22"/>
              </w:rPr>
              <w:t> </w:t>
            </w:r>
            <w:r w:rsidRPr="000A0E9A">
              <w:rPr>
                <w:noProof/>
                <w:sz w:val="22"/>
                <w:szCs w:val="22"/>
              </w:rPr>
              <w:t> </w:t>
            </w:r>
            <w:r w:rsidRPr="000A0E9A">
              <w:rPr>
                <w:noProof/>
                <w:sz w:val="22"/>
                <w:szCs w:val="22"/>
              </w:rPr>
              <w:t> </w:t>
            </w:r>
            <w:r w:rsidRPr="000A0E9A">
              <w:rPr>
                <w:noProof/>
                <w:sz w:val="22"/>
                <w:szCs w:val="22"/>
              </w:rPr>
              <w:t> </w:t>
            </w:r>
            <w:r w:rsidRPr="000A0E9A">
              <w:rPr>
                <w:sz w:val="22"/>
                <w:szCs w:val="22"/>
              </w:rPr>
              <w:fldChar w:fldCharType="end"/>
            </w:r>
            <w:bookmarkEnd w:id="9"/>
          </w:p>
        </w:tc>
      </w:tr>
      <w:tr w:rsidR="007970FB" w:rsidRPr="000A0E9A" w14:paraId="423460D3" w14:textId="77777777" w:rsidTr="000F4B61">
        <w:tc>
          <w:tcPr>
            <w:tcW w:w="2520" w:type="dxa"/>
          </w:tcPr>
          <w:p w14:paraId="736371E8" w14:textId="77777777" w:rsidR="007970FB" w:rsidRPr="000A0E9A" w:rsidRDefault="007970FB" w:rsidP="000F4B61">
            <w:pPr>
              <w:rPr>
                <w:sz w:val="16"/>
                <w:szCs w:val="16"/>
              </w:rPr>
            </w:pPr>
            <w:r w:rsidRPr="000A0E9A">
              <w:rPr>
                <w:sz w:val="16"/>
                <w:szCs w:val="16"/>
              </w:rPr>
              <w:t>(Not to exceed 500 CCF per customer)</w:t>
            </w:r>
          </w:p>
        </w:tc>
        <w:tc>
          <w:tcPr>
            <w:tcW w:w="2030" w:type="dxa"/>
          </w:tcPr>
          <w:p w14:paraId="4915C5A5" w14:textId="77777777" w:rsidR="007970FB" w:rsidRPr="000A0E9A" w:rsidRDefault="007970FB" w:rsidP="000F4B61">
            <w:pPr>
              <w:rPr>
                <w:sz w:val="22"/>
                <w:szCs w:val="22"/>
              </w:rPr>
            </w:pPr>
          </w:p>
        </w:tc>
        <w:tc>
          <w:tcPr>
            <w:tcW w:w="144" w:type="dxa"/>
          </w:tcPr>
          <w:p w14:paraId="634C283A" w14:textId="77777777" w:rsidR="007970FB" w:rsidRPr="000A0E9A" w:rsidRDefault="007970FB" w:rsidP="000F4B61">
            <w:pPr>
              <w:rPr>
                <w:sz w:val="22"/>
                <w:szCs w:val="22"/>
              </w:rPr>
            </w:pPr>
          </w:p>
        </w:tc>
        <w:tc>
          <w:tcPr>
            <w:tcW w:w="2275" w:type="dxa"/>
            <w:tcBorders>
              <w:top w:val="single" w:sz="4" w:space="0" w:color="auto"/>
            </w:tcBorders>
          </w:tcPr>
          <w:p w14:paraId="7BB01860" w14:textId="77777777" w:rsidR="007970FB" w:rsidRPr="000A0E9A" w:rsidRDefault="007970FB" w:rsidP="000F4B61">
            <w:pPr>
              <w:rPr>
                <w:sz w:val="22"/>
                <w:szCs w:val="22"/>
              </w:rPr>
            </w:pPr>
          </w:p>
        </w:tc>
        <w:tc>
          <w:tcPr>
            <w:tcW w:w="144" w:type="dxa"/>
          </w:tcPr>
          <w:p w14:paraId="2DA41CE1" w14:textId="77777777" w:rsidR="007970FB" w:rsidRPr="000A0E9A" w:rsidRDefault="007970FB" w:rsidP="000F4B61">
            <w:pPr>
              <w:rPr>
                <w:sz w:val="22"/>
                <w:szCs w:val="22"/>
              </w:rPr>
            </w:pPr>
          </w:p>
        </w:tc>
        <w:tc>
          <w:tcPr>
            <w:tcW w:w="2275" w:type="dxa"/>
            <w:tcBorders>
              <w:top w:val="single" w:sz="4" w:space="0" w:color="auto"/>
            </w:tcBorders>
          </w:tcPr>
          <w:p w14:paraId="0BF49CE9" w14:textId="77777777" w:rsidR="007970FB" w:rsidRPr="000A0E9A" w:rsidRDefault="007970FB" w:rsidP="000F4B61">
            <w:pPr>
              <w:rPr>
                <w:sz w:val="22"/>
                <w:szCs w:val="22"/>
              </w:rPr>
            </w:pPr>
          </w:p>
        </w:tc>
      </w:tr>
    </w:tbl>
    <w:p w14:paraId="6E7351BF" w14:textId="77777777" w:rsidR="007970FB" w:rsidRDefault="007970FB" w:rsidP="007970FB"/>
    <w:tbl>
      <w:tblPr>
        <w:tblStyle w:val="TableGrid"/>
        <w:tblW w:w="9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50"/>
        <w:gridCol w:w="144"/>
        <w:gridCol w:w="2275"/>
        <w:gridCol w:w="144"/>
        <w:gridCol w:w="2275"/>
      </w:tblGrid>
      <w:tr w:rsidR="007970FB" w:rsidRPr="000A0E9A" w14:paraId="25B45295" w14:textId="77777777" w:rsidTr="000F4B61">
        <w:tc>
          <w:tcPr>
            <w:tcW w:w="4550" w:type="dxa"/>
          </w:tcPr>
          <w:p w14:paraId="5913F715" w14:textId="77777777" w:rsidR="007970FB" w:rsidRPr="000A0E9A" w:rsidRDefault="007970FB" w:rsidP="000F4B61">
            <w:pPr>
              <w:jc w:val="right"/>
              <w:rPr>
                <w:sz w:val="22"/>
                <w:szCs w:val="22"/>
              </w:rPr>
            </w:pPr>
            <w:r w:rsidRPr="000A0E9A">
              <w:rPr>
                <w:sz w:val="22"/>
                <w:szCs w:val="22"/>
              </w:rPr>
              <w:t>Adjustment</w:t>
            </w:r>
          </w:p>
        </w:tc>
        <w:tc>
          <w:tcPr>
            <w:tcW w:w="144" w:type="dxa"/>
          </w:tcPr>
          <w:p w14:paraId="6DFAD3A4" w14:textId="77777777" w:rsidR="007970FB" w:rsidRPr="000A0E9A" w:rsidRDefault="007970FB" w:rsidP="000F4B61">
            <w:pPr>
              <w:rPr>
                <w:sz w:val="22"/>
                <w:szCs w:val="22"/>
              </w:rPr>
            </w:pPr>
          </w:p>
        </w:tc>
        <w:tc>
          <w:tcPr>
            <w:tcW w:w="2275" w:type="dxa"/>
            <w:tcBorders>
              <w:bottom w:val="single" w:sz="4" w:space="0" w:color="auto"/>
            </w:tcBorders>
            <w:vAlign w:val="bottom"/>
          </w:tcPr>
          <w:p w14:paraId="4A9633D0" w14:textId="77777777" w:rsidR="007970FB" w:rsidRPr="000A0E9A" w:rsidRDefault="007970FB" w:rsidP="000F4B61">
            <w:pPr>
              <w:jc w:val="center"/>
              <w:rPr>
                <w:sz w:val="22"/>
                <w:szCs w:val="22"/>
              </w:rPr>
            </w:pPr>
            <w:r w:rsidRPr="000A0E9A">
              <w:rPr>
                <w:sz w:val="22"/>
                <w:szCs w:val="22"/>
              </w:rPr>
              <w:fldChar w:fldCharType="begin">
                <w:ffData>
                  <w:name w:val="Text11"/>
                  <w:enabled/>
                  <w:calcOnExit w:val="0"/>
                  <w:textInput/>
                </w:ffData>
              </w:fldChar>
            </w:r>
            <w:bookmarkStart w:id="10" w:name="Text11"/>
            <w:r w:rsidRPr="000A0E9A">
              <w:rPr>
                <w:sz w:val="22"/>
                <w:szCs w:val="22"/>
              </w:rPr>
              <w:instrText xml:space="preserve"> FORMTEXT </w:instrText>
            </w:r>
            <w:r w:rsidRPr="000A0E9A">
              <w:rPr>
                <w:sz w:val="22"/>
                <w:szCs w:val="22"/>
              </w:rPr>
            </w:r>
            <w:r w:rsidRPr="000A0E9A">
              <w:rPr>
                <w:sz w:val="22"/>
                <w:szCs w:val="22"/>
              </w:rPr>
              <w:fldChar w:fldCharType="separate"/>
            </w:r>
            <w:r w:rsidRPr="000A0E9A">
              <w:rPr>
                <w:noProof/>
                <w:sz w:val="22"/>
                <w:szCs w:val="22"/>
              </w:rPr>
              <w:t> </w:t>
            </w:r>
            <w:r w:rsidRPr="000A0E9A">
              <w:rPr>
                <w:noProof/>
                <w:sz w:val="22"/>
                <w:szCs w:val="22"/>
              </w:rPr>
              <w:t> </w:t>
            </w:r>
            <w:r w:rsidRPr="000A0E9A">
              <w:rPr>
                <w:noProof/>
                <w:sz w:val="22"/>
                <w:szCs w:val="22"/>
              </w:rPr>
              <w:t> </w:t>
            </w:r>
            <w:r w:rsidRPr="000A0E9A">
              <w:rPr>
                <w:noProof/>
                <w:sz w:val="22"/>
                <w:szCs w:val="22"/>
              </w:rPr>
              <w:t> </w:t>
            </w:r>
            <w:r w:rsidRPr="000A0E9A">
              <w:rPr>
                <w:noProof/>
                <w:sz w:val="22"/>
                <w:szCs w:val="22"/>
              </w:rPr>
              <w:t> </w:t>
            </w:r>
            <w:r w:rsidRPr="000A0E9A">
              <w:rPr>
                <w:sz w:val="22"/>
                <w:szCs w:val="22"/>
              </w:rPr>
              <w:fldChar w:fldCharType="end"/>
            </w:r>
            <w:bookmarkEnd w:id="10"/>
          </w:p>
        </w:tc>
        <w:tc>
          <w:tcPr>
            <w:tcW w:w="144" w:type="dxa"/>
            <w:vAlign w:val="bottom"/>
          </w:tcPr>
          <w:p w14:paraId="7F4E8880" w14:textId="77777777" w:rsidR="007970FB" w:rsidRPr="000A0E9A" w:rsidRDefault="007970FB" w:rsidP="000F4B61">
            <w:pPr>
              <w:jc w:val="center"/>
              <w:rPr>
                <w:sz w:val="22"/>
                <w:szCs w:val="22"/>
              </w:rPr>
            </w:pPr>
          </w:p>
        </w:tc>
        <w:tc>
          <w:tcPr>
            <w:tcW w:w="2275" w:type="dxa"/>
            <w:tcBorders>
              <w:bottom w:val="single" w:sz="4" w:space="0" w:color="auto"/>
            </w:tcBorders>
            <w:vAlign w:val="bottom"/>
          </w:tcPr>
          <w:p w14:paraId="02D7A3D2" w14:textId="77777777" w:rsidR="007970FB" w:rsidRPr="000A0E9A" w:rsidRDefault="007970FB" w:rsidP="000F4B61">
            <w:pPr>
              <w:jc w:val="center"/>
              <w:rPr>
                <w:sz w:val="22"/>
                <w:szCs w:val="22"/>
              </w:rPr>
            </w:pPr>
            <w:r w:rsidRPr="000A0E9A">
              <w:rPr>
                <w:sz w:val="22"/>
                <w:szCs w:val="22"/>
              </w:rPr>
              <w:fldChar w:fldCharType="begin">
                <w:ffData>
                  <w:name w:val="Text12"/>
                  <w:enabled/>
                  <w:calcOnExit w:val="0"/>
                  <w:textInput/>
                </w:ffData>
              </w:fldChar>
            </w:r>
            <w:bookmarkStart w:id="11" w:name="Text12"/>
            <w:r w:rsidRPr="000A0E9A">
              <w:rPr>
                <w:sz w:val="22"/>
                <w:szCs w:val="22"/>
              </w:rPr>
              <w:instrText xml:space="preserve"> FORMTEXT </w:instrText>
            </w:r>
            <w:r w:rsidRPr="000A0E9A">
              <w:rPr>
                <w:sz w:val="22"/>
                <w:szCs w:val="22"/>
              </w:rPr>
            </w:r>
            <w:r w:rsidRPr="000A0E9A">
              <w:rPr>
                <w:sz w:val="22"/>
                <w:szCs w:val="22"/>
              </w:rPr>
              <w:fldChar w:fldCharType="separate"/>
            </w:r>
            <w:r w:rsidRPr="000A0E9A">
              <w:rPr>
                <w:noProof/>
                <w:sz w:val="22"/>
                <w:szCs w:val="22"/>
              </w:rPr>
              <w:t> </w:t>
            </w:r>
            <w:r w:rsidRPr="000A0E9A">
              <w:rPr>
                <w:noProof/>
                <w:sz w:val="22"/>
                <w:szCs w:val="22"/>
              </w:rPr>
              <w:t> </w:t>
            </w:r>
            <w:r w:rsidRPr="000A0E9A">
              <w:rPr>
                <w:noProof/>
                <w:sz w:val="22"/>
                <w:szCs w:val="22"/>
              </w:rPr>
              <w:t> </w:t>
            </w:r>
            <w:r w:rsidRPr="000A0E9A">
              <w:rPr>
                <w:noProof/>
                <w:sz w:val="22"/>
                <w:szCs w:val="22"/>
              </w:rPr>
              <w:t> </w:t>
            </w:r>
            <w:r w:rsidRPr="000A0E9A">
              <w:rPr>
                <w:noProof/>
                <w:sz w:val="22"/>
                <w:szCs w:val="22"/>
              </w:rPr>
              <w:t> </w:t>
            </w:r>
            <w:r w:rsidRPr="000A0E9A">
              <w:rPr>
                <w:sz w:val="22"/>
                <w:szCs w:val="22"/>
              </w:rPr>
              <w:fldChar w:fldCharType="end"/>
            </w:r>
            <w:bookmarkEnd w:id="11"/>
          </w:p>
        </w:tc>
      </w:tr>
      <w:tr w:rsidR="007970FB" w:rsidRPr="000A0E9A" w14:paraId="03E4124F" w14:textId="77777777" w:rsidTr="000F4B61">
        <w:tc>
          <w:tcPr>
            <w:tcW w:w="4550" w:type="dxa"/>
          </w:tcPr>
          <w:p w14:paraId="11D0E6D1" w14:textId="77777777" w:rsidR="007970FB" w:rsidRPr="000A0E9A" w:rsidRDefault="007970FB" w:rsidP="000F4B61">
            <w:pPr>
              <w:jc w:val="right"/>
              <w:rPr>
                <w:sz w:val="22"/>
                <w:szCs w:val="22"/>
              </w:rPr>
            </w:pPr>
          </w:p>
        </w:tc>
        <w:tc>
          <w:tcPr>
            <w:tcW w:w="144" w:type="dxa"/>
          </w:tcPr>
          <w:p w14:paraId="16338B63" w14:textId="77777777" w:rsidR="007970FB" w:rsidRPr="000A0E9A" w:rsidRDefault="007970FB" w:rsidP="000F4B61">
            <w:pPr>
              <w:rPr>
                <w:sz w:val="22"/>
                <w:szCs w:val="22"/>
              </w:rPr>
            </w:pPr>
          </w:p>
        </w:tc>
        <w:tc>
          <w:tcPr>
            <w:tcW w:w="2275" w:type="dxa"/>
            <w:tcBorders>
              <w:top w:val="single" w:sz="4" w:space="0" w:color="auto"/>
            </w:tcBorders>
            <w:vAlign w:val="bottom"/>
          </w:tcPr>
          <w:p w14:paraId="527715ED" w14:textId="77777777" w:rsidR="007970FB" w:rsidRPr="000A0E9A" w:rsidRDefault="007970FB" w:rsidP="000F4B61">
            <w:pPr>
              <w:jc w:val="center"/>
              <w:rPr>
                <w:sz w:val="22"/>
                <w:szCs w:val="22"/>
              </w:rPr>
            </w:pPr>
          </w:p>
        </w:tc>
        <w:tc>
          <w:tcPr>
            <w:tcW w:w="144" w:type="dxa"/>
            <w:vAlign w:val="bottom"/>
          </w:tcPr>
          <w:p w14:paraId="3D911172" w14:textId="77777777" w:rsidR="007970FB" w:rsidRPr="000A0E9A" w:rsidRDefault="007970FB" w:rsidP="000F4B61">
            <w:pPr>
              <w:jc w:val="center"/>
              <w:rPr>
                <w:sz w:val="22"/>
                <w:szCs w:val="22"/>
              </w:rPr>
            </w:pPr>
          </w:p>
        </w:tc>
        <w:tc>
          <w:tcPr>
            <w:tcW w:w="2275" w:type="dxa"/>
            <w:tcBorders>
              <w:top w:val="single" w:sz="4" w:space="0" w:color="auto"/>
            </w:tcBorders>
            <w:vAlign w:val="bottom"/>
          </w:tcPr>
          <w:p w14:paraId="01570EEC" w14:textId="77777777" w:rsidR="007970FB" w:rsidRPr="000A0E9A" w:rsidRDefault="007970FB" w:rsidP="000F4B61">
            <w:pPr>
              <w:jc w:val="center"/>
              <w:rPr>
                <w:sz w:val="22"/>
                <w:szCs w:val="22"/>
              </w:rPr>
            </w:pPr>
          </w:p>
        </w:tc>
      </w:tr>
      <w:tr w:rsidR="007970FB" w:rsidRPr="000A0E9A" w14:paraId="70BF89EE" w14:textId="77777777" w:rsidTr="000F4B61">
        <w:tc>
          <w:tcPr>
            <w:tcW w:w="4550" w:type="dxa"/>
          </w:tcPr>
          <w:p w14:paraId="5F9F185F" w14:textId="77777777" w:rsidR="007970FB" w:rsidRPr="000A0E9A" w:rsidRDefault="007970FB" w:rsidP="000F4B61">
            <w:pPr>
              <w:jc w:val="right"/>
              <w:rPr>
                <w:sz w:val="22"/>
                <w:szCs w:val="22"/>
              </w:rPr>
            </w:pPr>
            <w:r w:rsidRPr="000A0E9A">
              <w:rPr>
                <w:sz w:val="22"/>
                <w:szCs w:val="22"/>
              </w:rPr>
              <w:t>Less:  Unpaid Taxes to Service Provider</w:t>
            </w:r>
          </w:p>
        </w:tc>
        <w:tc>
          <w:tcPr>
            <w:tcW w:w="144" w:type="dxa"/>
          </w:tcPr>
          <w:p w14:paraId="7576D845" w14:textId="77777777" w:rsidR="007970FB" w:rsidRPr="000A0E9A" w:rsidRDefault="007970FB" w:rsidP="000F4B61">
            <w:pPr>
              <w:rPr>
                <w:sz w:val="22"/>
                <w:szCs w:val="22"/>
              </w:rPr>
            </w:pPr>
          </w:p>
        </w:tc>
        <w:tc>
          <w:tcPr>
            <w:tcW w:w="2275" w:type="dxa"/>
            <w:tcBorders>
              <w:bottom w:val="single" w:sz="4" w:space="0" w:color="auto"/>
            </w:tcBorders>
            <w:vAlign w:val="bottom"/>
          </w:tcPr>
          <w:p w14:paraId="6B53D543" w14:textId="77777777" w:rsidR="007970FB" w:rsidRPr="000A0E9A" w:rsidRDefault="007970FB" w:rsidP="000F4B61">
            <w:pPr>
              <w:jc w:val="center"/>
              <w:rPr>
                <w:sz w:val="22"/>
                <w:szCs w:val="22"/>
              </w:rPr>
            </w:pPr>
            <w:r w:rsidRPr="000A0E9A">
              <w:rPr>
                <w:sz w:val="22"/>
                <w:szCs w:val="22"/>
              </w:rPr>
              <w:t>(</w:t>
            </w:r>
            <w:r w:rsidRPr="000A0E9A">
              <w:rPr>
                <w:sz w:val="22"/>
                <w:szCs w:val="22"/>
              </w:rPr>
              <w:fldChar w:fldCharType="begin">
                <w:ffData>
                  <w:name w:val="Text13"/>
                  <w:enabled/>
                  <w:calcOnExit w:val="0"/>
                  <w:textInput/>
                </w:ffData>
              </w:fldChar>
            </w:r>
            <w:bookmarkStart w:id="12" w:name="Text13"/>
            <w:r w:rsidRPr="000A0E9A">
              <w:rPr>
                <w:sz w:val="22"/>
                <w:szCs w:val="22"/>
              </w:rPr>
              <w:instrText xml:space="preserve"> FORMTEXT </w:instrText>
            </w:r>
            <w:r w:rsidRPr="000A0E9A">
              <w:rPr>
                <w:sz w:val="22"/>
                <w:szCs w:val="22"/>
              </w:rPr>
            </w:r>
            <w:r w:rsidRPr="000A0E9A">
              <w:rPr>
                <w:sz w:val="22"/>
                <w:szCs w:val="22"/>
              </w:rPr>
              <w:fldChar w:fldCharType="separate"/>
            </w:r>
            <w:r w:rsidRPr="000A0E9A">
              <w:rPr>
                <w:noProof/>
                <w:sz w:val="22"/>
                <w:szCs w:val="22"/>
              </w:rPr>
              <w:t> </w:t>
            </w:r>
            <w:r w:rsidRPr="000A0E9A">
              <w:rPr>
                <w:noProof/>
                <w:sz w:val="22"/>
                <w:szCs w:val="22"/>
              </w:rPr>
              <w:t> </w:t>
            </w:r>
            <w:r w:rsidRPr="000A0E9A">
              <w:rPr>
                <w:noProof/>
                <w:sz w:val="22"/>
                <w:szCs w:val="22"/>
              </w:rPr>
              <w:t> </w:t>
            </w:r>
            <w:r w:rsidRPr="000A0E9A">
              <w:rPr>
                <w:noProof/>
                <w:sz w:val="22"/>
                <w:szCs w:val="22"/>
              </w:rPr>
              <w:t> </w:t>
            </w:r>
            <w:r w:rsidRPr="000A0E9A">
              <w:rPr>
                <w:noProof/>
                <w:sz w:val="22"/>
                <w:szCs w:val="22"/>
              </w:rPr>
              <w:t> </w:t>
            </w:r>
            <w:r w:rsidRPr="000A0E9A">
              <w:rPr>
                <w:sz w:val="22"/>
                <w:szCs w:val="22"/>
              </w:rPr>
              <w:fldChar w:fldCharType="end"/>
            </w:r>
            <w:bookmarkEnd w:id="12"/>
            <w:r w:rsidRPr="000A0E9A">
              <w:rPr>
                <w:sz w:val="22"/>
                <w:szCs w:val="22"/>
              </w:rPr>
              <w:t>)</w:t>
            </w:r>
          </w:p>
        </w:tc>
        <w:tc>
          <w:tcPr>
            <w:tcW w:w="144" w:type="dxa"/>
            <w:vAlign w:val="bottom"/>
          </w:tcPr>
          <w:p w14:paraId="0A295179" w14:textId="77777777" w:rsidR="007970FB" w:rsidRPr="000A0E9A" w:rsidRDefault="007970FB" w:rsidP="000F4B61">
            <w:pPr>
              <w:jc w:val="center"/>
              <w:rPr>
                <w:sz w:val="22"/>
                <w:szCs w:val="22"/>
              </w:rPr>
            </w:pPr>
          </w:p>
        </w:tc>
        <w:tc>
          <w:tcPr>
            <w:tcW w:w="2275" w:type="dxa"/>
            <w:tcBorders>
              <w:bottom w:val="single" w:sz="4" w:space="0" w:color="auto"/>
            </w:tcBorders>
            <w:vAlign w:val="bottom"/>
          </w:tcPr>
          <w:p w14:paraId="6E27323F" w14:textId="77777777" w:rsidR="007970FB" w:rsidRPr="000A0E9A" w:rsidRDefault="007970FB" w:rsidP="000F4B61">
            <w:pPr>
              <w:jc w:val="center"/>
              <w:rPr>
                <w:sz w:val="22"/>
                <w:szCs w:val="22"/>
              </w:rPr>
            </w:pPr>
            <w:r w:rsidRPr="000A0E9A">
              <w:rPr>
                <w:sz w:val="22"/>
                <w:szCs w:val="22"/>
              </w:rPr>
              <w:t>(</w:t>
            </w:r>
            <w:r w:rsidRPr="000A0E9A">
              <w:rPr>
                <w:sz w:val="22"/>
                <w:szCs w:val="22"/>
              </w:rPr>
              <w:fldChar w:fldCharType="begin">
                <w:ffData>
                  <w:name w:val="Text14"/>
                  <w:enabled/>
                  <w:calcOnExit w:val="0"/>
                  <w:textInput/>
                </w:ffData>
              </w:fldChar>
            </w:r>
            <w:bookmarkStart w:id="13" w:name="Text14"/>
            <w:r w:rsidRPr="000A0E9A">
              <w:rPr>
                <w:sz w:val="22"/>
                <w:szCs w:val="22"/>
              </w:rPr>
              <w:instrText xml:space="preserve"> FORMTEXT </w:instrText>
            </w:r>
            <w:r w:rsidRPr="000A0E9A">
              <w:rPr>
                <w:sz w:val="22"/>
                <w:szCs w:val="22"/>
              </w:rPr>
            </w:r>
            <w:r w:rsidRPr="000A0E9A">
              <w:rPr>
                <w:sz w:val="22"/>
                <w:szCs w:val="22"/>
              </w:rPr>
              <w:fldChar w:fldCharType="separate"/>
            </w:r>
            <w:r w:rsidRPr="000A0E9A">
              <w:rPr>
                <w:noProof/>
                <w:sz w:val="22"/>
                <w:szCs w:val="22"/>
              </w:rPr>
              <w:t> </w:t>
            </w:r>
            <w:r w:rsidRPr="000A0E9A">
              <w:rPr>
                <w:noProof/>
                <w:sz w:val="22"/>
                <w:szCs w:val="22"/>
              </w:rPr>
              <w:t> </w:t>
            </w:r>
            <w:r w:rsidRPr="000A0E9A">
              <w:rPr>
                <w:noProof/>
                <w:sz w:val="22"/>
                <w:szCs w:val="22"/>
              </w:rPr>
              <w:t> </w:t>
            </w:r>
            <w:r w:rsidRPr="000A0E9A">
              <w:rPr>
                <w:noProof/>
                <w:sz w:val="22"/>
                <w:szCs w:val="22"/>
              </w:rPr>
              <w:t> </w:t>
            </w:r>
            <w:r w:rsidRPr="000A0E9A">
              <w:rPr>
                <w:noProof/>
                <w:sz w:val="22"/>
                <w:szCs w:val="22"/>
              </w:rPr>
              <w:t> </w:t>
            </w:r>
            <w:r w:rsidRPr="000A0E9A">
              <w:rPr>
                <w:sz w:val="22"/>
                <w:szCs w:val="22"/>
              </w:rPr>
              <w:fldChar w:fldCharType="end"/>
            </w:r>
            <w:bookmarkEnd w:id="13"/>
            <w:r w:rsidRPr="000A0E9A">
              <w:rPr>
                <w:sz w:val="22"/>
                <w:szCs w:val="22"/>
              </w:rPr>
              <w:t>)</w:t>
            </w:r>
          </w:p>
        </w:tc>
      </w:tr>
      <w:tr w:rsidR="007970FB" w:rsidRPr="000A0E9A" w14:paraId="44A8A781" w14:textId="77777777" w:rsidTr="000F4B61">
        <w:tc>
          <w:tcPr>
            <w:tcW w:w="4550" w:type="dxa"/>
          </w:tcPr>
          <w:p w14:paraId="7F1B50CA" w14:textId="77777777" w:rsidR="007970FB" w:rsidRPr="000A0E9A" w:rsidRDefault="007970FB" w:rsidP="000F4B61">
            <w:pPr>
              <w:jc w:val="right"/>
              <w:rPr>
                <w:sz w:val="16"/>
                <w:szCs w:val="16"/>
              </w:rPr>
            </w:pPr>
            <w:r w:rsidRPr="000A0E9A">
              <w:rPr>
                <w:sz w:val="16"/>
                <w:szCs w:val="16"/>
              </w:rPr>
              <w:t>Pursuant to § 58.1-2905(A)</w:t>
            </w:r>
          </w:p>
        </w:tc>
        <w:tc>
          <w:tcPr>
            <w:tcW w:w="144" w:type="dxa"/>
          </w:tcPr>
          <w:p w14:paraId="55F753C9" w14:textId="77777777" w:rsidR="007970FB" w:rsidRPr="000A0E9A" w:rsidRDefault="007970FB" w:rsidP="000F4B61">
            <w:pPr>
              <w:rPr>
                <w:sz w:val="16"/>
                <w:szCs w:val="16"/>
              </w:rPr>
            </w:pPr>
          </w:p>
        </w:tc>
        <w:tc>
          <w:tcPr>
            <w:tcW w:w="2275" w:type="dxa"/>
            <w:vAlign w:val="bottom"/>
          </w:tcPr>
          <w:p w14:paraId="0C563059" w14:textId="77777777" w:rsidR="007970FB" w:rsidRPr="000A0E9A" w:rsidRDefault="007970FB" w:rsidP="000F4B61">
            <w:pPr>
              <w:jc w:val="center"/>
              <w:rPr>
                <w:sz w:val="22"/>
                <w:szCs w:val="22"/>
              </w:rPr>
            </w:pPr>
          </w:p>
        </w:tc>
        <w:tc>
          <w:tcPr>
            <w:tcW w:w="144" w:type="dxa"/>
            <w:vAlign w:val="bottom"/>
          </w:tcPr>
          <w:p w14:paraId="61897024" w14:textId="77777777" w:rsidR="007970FB" w:rsidRPr="000A0E9A" w:rsidRDefault="007970FB" w:rsidP="000F4B61">
            <w:pPr>
              <w:jc w:val="center"/>
              <w:rPr>
                <w:sz w:val="22"/>
                <w:szCs w:val="22"/>
              </w:rPr>
            </w:pPr>
          </w:p>
        </w:tc>
        <w:tc>
          <w:tcPr>
            <w:tcW w:w="2275" w:type="dxa"/>
            <w:vAlign w:val="bottom"/>
          </w:tcPr>
          <w:p w14:paraId="709FFC8D" w14:textId="77777777" w:rsidR="007970FB" w:rsidRPr="000A0E9A" w:rsidRDefault="007970FB" w:rsidP="000F4B61">
            <w:pPr>
              <w:jc w:val="center"/>
              <w:rPr>
                <w:sz w:val="22"/>
                <w:szCs w:val="22"/>
              </w:rPr>
            </w:pPr>
          </w:p>
        </w:tc>
      </w:tr>
      <w:tr w:rsidR="007970FB" w:rsidRPr="000A0E9A" w14:paraId="676E3BB0" w14:textId="77777777" w:rsidTr="000F4B61">
        <w:tc>
          <w:tcPr>
            <w:tcW w:w="4550" w:type="dxa"/>
          </w:tcPr>
          <w:p w14:paraId="152EEA7D" w14:textId="77777777" w:rsidR="007970FB" w:rsidRPr="000A0E9A" w:rsidRDefault="007970FB" w:rsidP="000F4B61">
            <w:pPr>
              <w:jc w:val="right"/>
              <w:rPr>
                <w:sz w:val="22"/>
                <w:szCs w:val="22"/>
              </w:rPr>
            </w:pPr>
            <w:r w:rsidRPr="000A0E9A">
              <w:rPr>
                <w:sz w:val="22"/>
                <w:szCs w:val="22"/>
              </w:rPr>
              <w:t>Plus:  Net Collections of Delinquent Taxes</w:t>
            </w:r>
          </w:p>
        </w:tc>
        <w:tc>
          <w:tcPr>
            <w:tcW w:w="144" w:type="dxa"/>
          </w:tcPr>
          <w:p w14:paraId="43E68318" w14:textId="77777777" w:rsidR="007970FB" w:rsidRPr="000A0E9A" w:rsidRDefault="007970FB" w:rsidP="000F4B61">
            <w:pPr>
              <w:rPr>
                <w:sz w:val="22"/>
                <w:szCs w:val="22"/>
              </w:rPr>
            </w:pPr>
          </w:p>
        </w:tc>
        <w:tc>
          <w:tcPr>
            <w:tcW w:w="2275" w:type="dxa"/>
            <w:tcBorders>
              <w:bottom w:val="single" w:sz="4" w:space="0" w:color="auto"/>
            </w:tcBorders>
            <w:vAlign w:val="bottom"/>
          </w:tcPr>
          <w:p w14:paraId="7D4006B5" w14:textId="77777777" w:rsidR="007970FB" w:rsidRPr="000A0E9A" w:rsidRDefault="007970FB" w:rsidP="000F4B61">
            <w:pPr>
              <w:jc w:val="center"/>
              <w:rPr>
                <w:sz w:val="22"/>
                <w:szCs w:val="22"/>
              </w:rPr>
            </w:pPr>
            <w:r w:rsidRPr="000A0E9A">
              <w:rPr>
                <w:sz w:val="22"/>
                <w:szCs w:val="22"/>
              </w:rPr>
              <w:fldChar w:fldCharType="begin">
                <w:ffData>
                  <w:name w:val="Text15"/>
                  <w:enabled/>
                  <w:calcOnExit w:val="0"/>
                  <w:textInput/>
                </w:ffData>
              </w:fldChar>
            </w:r>
            <w:bookmarkStart w:id="14" w:name="Text15"/>
            <w:r w:rsidRPr="000A0E9A">
              <w:rPr>
                <w:sz w:val="22"/>
                <w:szCs w:val="22"/>
              </w:rPr>
              <w:instrText xml:space="preserve"> FORMTEXT </w:instrText>
            </w:r>
            <w:r w:rsidRPr="000A0E9A">
              <w:rPr>
                <w:sz w:val="22"/>
                <w:szCs w:val="22"/>
              </w:rPr>
            </w:r>
            <w:r w:rsidRPr="000A0E9A">
              <w:rPr>
                <w:sz w:val="22"/>
                <w:szCs w:val="22"/>
              </w:rPr>
              <w:fldChar w:fldCharType="separate"/>
            </w:r>
            <w:r w:rsidRPr="000A0E9A">
              <w:rPr>
                <w:noProof/>
                <w:sz w:val="22"/>
                <w:szCs w:val="22"/>
              </w:rPr>
              <w:t> </w:t>
            </w:r>
            <w:r w:rsidRPr="000A0E9A">
              <w:rPr>
                <w:noProof/>
                <w:sz w:val="22"/>
                <w:szCs w:val="22"/>
              </w:rPr>
              <w:t> </w:t>
            </w:r>
            <w:r w:rsidRPr="000A0E9A">
              <w:rPr>
                <w:noProof/>
                <w:sz w:val="22"/>
                <w:szCs w:val="22"/>
              </w:rPr>
              <w:t> </w:t>
            </w:r>
            <w:r w:rsidRPr="000A0E9A">
              <w:rPr>
                <w:noProof/>
                <w:sz w:val="22"/>
                <w:szCs w:val="22"/>
              </w:rPr>
              <w:t> </w:t>
            </w:r>
            <w:r w:rsidRPr="000A0E9A">
              <w:rPr>
                <w:noProof/>
                <w:sz w:val="22"/>
                <w:szCs w:val="22"/>
              </w:rPr>
              <w:t> </w:t>
            </w:r>
            <w:r w:rsidRPr="000A0E9A">
              <w:rPr>
                <w:sz w:val="22"/>
                <w:szCs w:val="22"/>
              </w:rPr>
              <w:fldChar w:fldCharType="end"/>
            </w:r>
            <w:bookmarkEnd w:id="14"/>
          </w:p>
        </w:tc>
        <w:tc>
          <w:tcPr>
            <w:tcW w:w="144" w:type="dxa"/>
            <w:vAlign w:val="bottom"/>
          </w:tcPr>
          <w:p w14:paraId="1C4E498A" w14:textId="77777777" w:rsidR="007970FB" w:rsidRPr="000A0E9A" w:rsidRDefault="007970FB" w:rsidP="000F4B61">
            <w:pPr>
              <w:jc w:val="center"/>
              <w:rPr>
                <w:sz w:val="22"/>
                <w:szCs w:val="22"/>
              </w:rPr>
            </w:pPr>
          </w:p>
        </w:tc>
        <w:tc>
          <w:tcPr>
            <w:tcW w:w="2275" w:type="dxa"/>
            <w:tcBorders>
              <w:bottom w:val="single" w:sz="4" w:space="0" w:color="auto"/>
            </w:tcBorders>
            <w:vAlign w:val="bottom"/>
          </w:tcPr>
          <w:p w14:paraId="0267E94F" w14:textId="77777777" w:rsidR="007970FB" w:rsidRPr="000A0E9A" w:rsidRDefault="007970FB" w:rsidP="000F4B61">
            <w:pPr>
              <w:jc w:val="center"/>
              <w:rPr>
                <w:sz w:val="22"/>
                <w:szCs w:val="22"/>
              </w:rPr>
            </w:pPr>
            <w:r w:rsidRPr="000A0E9A">
              <w:rPr>
                <w:sz w:val="22"/>
                <w:szCs w:val="22"/>
              </w:rPr>
              <w:fldChar w:fldCharType="begin">
                <w:ffData>
                  <w:name w:val="Text16"/>
                  <w:enabled/>
                  <w:calcOnExit w:val="0"/>
                  <w:textInput/>
                </w:ffData>
              </w:fldChar>
            </w:r>
            <w:bookmarkStart w:id="15" w:name="Text16"/>
            <w:r w:rsidRPr="000A0E9A">
              <w:rPr>
                <w:sz w:val="22"/>
                <w:szCs w:val="22"/>
              </w:rPr>
              <w:instrText xml:space="preserve"> FORMTEXT </w:instrText>
            </w:r>
            <w:r w:rsidRPr="000A0E9A">
              <w:rPr>
                <w:sz w:val="22"/>
                <w:szCs w:val="22"/>
              </w:rPr>
            </w:r>
            <w:r w:rsidRPr="000A0E9A">
              <w:rPr>
                <w:sz w:val="22"/>
                <w:szCs w:val="22"/>
              </w:rPr>
              <w:fldChar w:fldCharType="separate"/>
            </w:r>
            <w:r w:rsidRPr="000A0E9A">
              <w:rPr>
                <w:noProof/>
                <w:sz w:val="22"/>
                <w:szCs w:val="22"/>
              </w:rPr>
              <w:t> </w:t>
            </w:r>
            <w:r w:rsidRPr="000A0E9A">
              <w:rPr>
                <w:noProof/>
                <w:sz w:val="22"/>
                <w:szCs w:val="22"/>
              </w:rPr>
              <w:t> </w:t>
            </w:r>
            <w:r w:rsidRPr="000A0E9A">
              <w:rPr>
                <w:noProof/>
                <w:sz w:val="22"/>
                <w:szCs w:val="22"/>
              </w:rPr>
              <w:t> </w:t>
            </w:r>
            <w:r w:rsidRPr="000A0E9A">
              <w:rPr>
                <w:noProof/>
                <w:sz w:val="22"/>
                <w:szCs w:val="22"/>
              </w:rPr>
              <w:t> </w:t>
            </w:r>
            <w:r w:rsidRPr="000A0E9A">
              <w:rPr>
                <w:noProof/>
                <w:sz w:val="22"/>
                <w:szCs w:val="22"/>
              </w:rPr>
              <w:t> </w:t>
            </w:r>
            <w:r w:rsidRPr="000A0E9A">
              <w:rPr>
                <w:sz w:val="22"/>
                <w:szCs w:val="22"/>
              </w:rPr>
              <w:fldChar w:fldCharType="end"/>
            </w:r>
            <w:bookmarkEnd w:id="15"/>
          </w:p>
        </w:tc>
      </w:tr>
      <w:tr w:rsidR="007970FB" w:rsidRPr="000A0E9A" w14:paraId="67B6D3B7" w14:textId="77777777" w:rsidTr="000F4B61">
        <w:tc>
          <w:tcPr>
            <w:tcW w:w="4550" w:type="dxa"/>
          </w:tcPr>
          <w:p w14:paraId="0AF4AD6E" w14:textId="77777777" w:rsidR="007970FB" w:rsidRPr="000A0E9A" w:rsidRDefault="007970FB" w:rsidP="000F4B61">
            <w:pPr>
              <w:jc w:val="right"/>
              <w:rPr>
                <w:sz w:val="22"/>
                <w:szCs w:val="22"/>
              </w:rPr>
            </w:pPr>
          </w:p>
        </w:tc>
        <w:tc>
          <w:tcPr>
            <w:tcW w:w="144" w:type="dxa"/>
          </w:tcPr>
          <w:p w14:paraId="67ADFAF3" w14:textId="77777777" w:rsidR="007970FB" w:rsidRPr="000A0E9A" w:rsidRDefault="007970FB" w:rsidP="000F4B61">
            <w:pPr>
              <w:rPr>
                <w:sz w:val="22"/>
                <w:szCs w:val="22"/>
              </w:rPr>
            </w:pPr>
          </w:p>
        </w:tc>
        <w:tc>
          <w:tcPr>
            <w:tcW w:w="2275" w:type="dxa"/>
            <w:tcBorders>
              <w:top w:val="single" w:sz="4" w:space="0" w:color="auto"/>
            </w:tcBorders>
            <w:vAlign w:val="bottom"/>
          </w:tcPr>
          <w:p w14:paraId="188119A4" w14:textId="77777777" w:rsidR="007970FB" w:rsidRPr="000A0E9A" w:rsidRDefault="007970FB" w:rsidP="000F4B61">
            <w:pPr>
              <w:jc w:val="center"/>
              <w:rPr>
                <w:sz w:val="22"/>
                <w:szCs w:val="22"/>
              </w:rPr>
            </w:pPr>
          </w:p>
        </w:tc>
        <w:tc>
          <w:tcPr>
            <w:tcW w:w="144" w:type="dxa"/>
            <w:vAlign w:val="bottom"/>
          </w:tcPr>
          <w:p w14:paraId="2BC1687E" w14:textId="77777777" w:rsidR="007970FB" w:rsidRPr="000A0E9A" w:rsidRDefault="007970FB" w:rsidP="000F4B61">
            <w:pPr>
              <w:jc w:val="center"/>
              <w:rPr>
                <w:sz w:val="22"/>
                <w:szCs w:val="22"/>
              </w:rPr>
            </w:pPr>
          </w:p>
        </w:tc>
        <w:tc>
          <w:tcPr>
            <w:tcW w:w="2275" w:type="dxa"/>
            <w:tcBorders>
              <w:top w:val="single" w:sz="4" w:space="0" w:color="auto"/>
            </w:tcBorders>
            <w:vAlign w:val="bottom"/>
          </w:tcPr>
          <w:p w14:paraId="35D2814A" w14:textId="77777777" w:rsidR="007970FB" w:rsidRPr="000A0E9A" w:rsidRDefault="007970FB" w:rsidP="000F4B61">
            <w:pPr>
              <w:jc w:val="center"/>
              <w:rPr>
                <w:sz w:val="22"/>
                <w:szCs w:val="22"/>
              </w:rPr>
            </w:pPr>
          </w:p>
        </w:tc>
      </w:tr>
      <w:tr w:rsidR="007970FB" w:rsidRPr="000A0E9A" w14:paraId="1AB8CBE0" w14:textId="77777777" w:rsidTr="000F4B61">
        <w:tc>
          <w:tcPr>
            <w:tcW w:w="4550" w:type="dxa"/>
          </w:tcPr>
          <w:p w14:paraId="6BE4F988" w14:textId="77777777" w:rsidR="007970FB" w:rsidRPr="000A0E9A" w:rsidRDefault="007970FB" w:rsidP="000F4B61">
            <w:pPr>
              <w:jc w:val="right"/>
              <w:rPr>
                <w:sz w:val="22"/>
                <w:szCs w:val="22"/>
              </w:rPr>
            </w:pPr>
            <w:r w:rsidRPr="000A0E9A">
              <w:rPr>
                <w:sz w:val="22"/>
                <w:szCs w:val="22"/>
              </w:rPr>
              <w:t>Plus:  Excess Local Consumption Tax Collected</w:t>
            </w:r>
          </w:p>
        </w:tc>
        <w:tc>
          <w:tcPr>
            <w:tcW w:w="144" w:type="dxa"/>
          </w:tcPr>
          <w:p w14:paraId="4A45BF61" w14:textId="77777777" w:rsidR="007970FB" w:rsidRPr="000A0E9A" w:rsidRDefault="007970FB" w:rsidP="000F4B61">
            <w:pPr>
              <w:rPr>
                <w:sz w:val="22"/>
                <w:szCs w:val="22"/>
              </w:rPr>
            </w:pPr>
          </w:p>
        </w:tc>
        <w:tc>
          <w:tcPr>
            <w:tcW w:w="2275" w:type="dxa"/>
            <w:tcBorders>
              <w:bottom w:val="single" w:sz="4" w:space="0" w:color="auto"/>
            </w:tcBorders>
            <w:vAlign w:val="bottom"/>
          </w:tcPr>
          <w:p w14:paraId="70CBD882" w14:textId="77777777" w:rsidR="007970FB" w:rsidRPr="000A0E9A" w:rsidRDefault="007970FB" w:rsidP="000F4B61">
            <w:pPr>
              <w:jc w:val="center"/>
              <w:rPr>
                <w:sz w:val="22"/>
                <w:szCs w:val="22"/>
              </w:rPr>
            </w:pPr>
            <w:r w:rsidRPr="000A0E9A">
              <w:rPr>
                <w:sz w:val="22"/>
                <w:szCs w:val="22"/>
              </w:rPr>
              <w:fldChar w:fldCharType="begin">
                <w:ffData>
                  <w:name w:val="Text17"/>
                  <w:enabled/>
                  <w:calcOnExit w:val="0"/>
                  <w:textInput/>
                </w:ffData>
              </w:fldChar>
            </w:r>
            <w:bookmarkStart w:id="16" w:name="Text17"/>
            <w:r w:rsidRPr="000A0E9A">
              <w:rPr>
                <w:sz w:val="22"/>
                <w:szCs w:val="22"/>
              </w:rPr>
              <w:instrText xml:space="preserve"> FORMTEXT </w:instrText>
            </w:r>
            <w:r w:rsidRPr="000A0E9A">
              <w:rPr>
                <w:sz w:val="22"/>
                <w:szCs w:val="22"/>
              </w:rPr>
            </w:r>
            <w:r w:rsidRPr="000A0E9A">
              <w:rPr>
                <w:sz w:val="22"/>
                <w:szCs w:val="22"/>
              </w:rPr>
              <w:fldChar w:fldCharType="separate"/>
            </w:r>
            <w:r w:rsidRPr="000A0E9A">
              <w:rPr>
                <w:noProof/>
                <w:sz w:val="22"/>
                <w:szCs w:val="22"/>
              </w:rPr>
              <w:t> </w:t>
            </w:r>
            <w:r w:rsidRPr="000A0E9A">
              <w:rPr>
                <w:noProof/>
                <w:sz w:val="22"/>
                <w:szCs w:val="22"/>
              </w:rPr>
              <w:t> </w:t>
            </w:r>
            <w:r w:rsidRPr="000A0E9A">
              <w:rPr>
                <w:noProof/>
                <w:sz w:val="22"/>
                <w:szCs w:val="22"/>
              </w:rPr>
              <w:t> </w:t>
            </w:r>
            <w:r w:rsidRPr="000A0E9A">
              <w:rPr>
                <w:noProof/>
                <w:sz w:val="22"/>
                <w:szCs w:val="22"/>
              </w:rPr>
              <w:t> </w:t>
            </w:r>
            <w:r w:rsidRPr="000A0E9A">
              <w:rPr>
                <w:noProof/>
                <w:sz w:val="22"/>
                <w:szCs w:val="22"/>
              </w:rPr>
              <w:t> </w:t>
            </w:r>
            <w:r w:rsidRPr="000A0E9A">
              <w:rPr>
                <w:sz w:val="22"/>
                <w:szCs w:val="22"/>
              </w:rPr>
              <w:fldChar w:fldCharType="end"/>
            </w:r>
            <w:bookmarkEnd w:id="16"/>
          </w:p>
        </w:tc>
        <w:tc>
          <w:tcPr>
            <w:tcW w:w="144" w:type="dxa"/>
            <w:vAlign w:val="bottom"/>
          </w:tcPr>
          <w:p w14:paraId="573DDF1F" w14:textId="77777777" w:rsidR="007970FB" w:rsidRPr="000A0E9A" w:rsidRDefault="007970FB" w:rsidP="000F4B61">
            <w:pPr>
              <w:jc w:val="center"/>
              <w:rPr>
                <w:sz w:val="22"/>
                <w:szCs w:val="22"/>
              </w:rPr>
            </w:pPr>
          </w:p>
        </w:tc>
        <w:tc>
          <w:tcPr>
            <w:tcW w:w="2275" w:type="dxa"/>
            <w:vAlign w:val="bottom"/>
          </w:tcPr>
          <w:p w14:paraId="7BA597AD" w14:textId="77777777" w:rsidR="007970FB" w:rsidRPr="000A0E9A" w:rsidRDefault="007970FB" w:rsidP="000F4B61">
            <w:pPr>
              <w:jc w:val="center"/>
              <w:rPr>
                <w:sz w:val="22"/>
                <w:szCs w:val="22"/>
              </w:rPr>
            </w:pPr>
          </w:p>
        </w:tc>
      </w:tr>
      <w:tr w:rsidR="007970FB" w:rsidRPr="000A0E9A" w14:paraId="4B18EF34" w14:textId="77777777" w:rsidTr="000F4B61">
        <w:tc>
          <w:tcPr>
            <w:tcW w:w="4550" w:type="dxa"/>
          </w:tcPr>
          <w:p w14:paraId="3E7205F3" w14:textId="77777777" w:rsidR="007970FB" w:rsidRPr="000A0E9A" w:rsidRDefault="007970FB" w:rsidP="000F4B61">
            <w:pPr>
              <w:jc w:val="right"/>
              <w:rPr>
                <w:sz w:val="16"/>
                <w:szCs w:val="16"/>
              </w:rPr>
            </w:pPr>
            <w:r w:rsidRPr="000A0E9A">
              <w:rPr>
                <w:sz w:val="16"/>
                <w:szCs w:val="16"/>
              </w:rPr>
              <w:t xml:space="preserve">Pursuant to § 58.1-2905(E) </w:t>
            </w:r>
          </w:p>
        </w:tc>
        <w:tc>
          <w:tcPr>
            <w:tcW w:w="144" w:type="dxa"/>
          </w:tcPr>
          <w:p w14:paraId="375B103F" w14:textId="77777777" w:rsidR="007970FB" w:rsidRPr="000A0E9A" w:rsidRDefault="007970FB" w:rsidP="000F4B61">
            <w:pPr>
              <w:rPr>
                <w:sz w:val="16"/>
                <w:szCs w:val="16"/>
              </w:rPr>
            </w:pPr>
          </w:p>
        </w:tc>
        <w:tc>
          <w:tcPr>
            <w:tcW w:w="2275" w:type="dxa"/>
            <w:tcBorders>
              <w:top w:val="single" w:sz="4" w:space="0" w:color="auto"/>
            </w:tcBorders>
            <w:vAlign w:val="bottom"/>
          </w:tcPr>
          <w:p w14:paraId="3B8B19FA" w14:textId="77777777" w:rsidR="007970FB" w:rsidRPr="000A0E9A" w:rsidRDefault="007970FB" w:rsidP="000F4B61">
            <w:pPr>
              <w:jc w:val="center"/>
              <w:rPr>
                <w:sz w:val="16"/>
                <w:szCs w:val="16"/>
              </w:rPr>
            </w:pPr>
          </w:p>
        </w:tc>
        <w:tc>
          <w:tcPr>
            <w:tcW w:w="144" w:type="dxa"/>
            <w:vAlign w:val="bottom"/>
          </w:tcPr>
          <w:p w14:paraId="62706489" w14:textId="77777777" w:rsidR="007970FB" w:rsidRPr="000A0E9A" w:rsidRDefault="007970FB" w:rsidP="000F4B61">
            <w:pPr>
              <w:jc w:val="center"/>
              <w:rPr>
                <w:sz w:val="22"/>
                <w:szCs w:val="22"/>
              </w:rPr>
            </w:pPr>
          </w:p>
        </w:tc>
        <w:tc>
          <w:tcPr>
            <w:tcW w:w="2275" w:type="dxa"/>
            <w:vAlign w:val="bottom"/>
          </w:tcPr>
          <w:p w14:paraId="0CCDB802" w14:textId="77777777" w:rsidR="007970FB" w:rsidRPr="000A0E9A" w:rsidRDefault="007970FB" w:rsidP="000F4B61">
            <w:pPr>
              <w:jc w:val="center"/>
              <w:rPr>
                <w:sz w:val="22"/>
                <w:szCs w:val="22"/>
              </w:rPr>
            </w:pPr>
          </w:p>
        </w:tc>
      </w:tr>
      <w:tr w:rsidR="007970FB" w:rsidRPr="000A0E9A" w14:paraId="0DD0D4BF" w14:textId="77777777" w:rsidTr="000F4B61">
        <w:tc>
          <w:tcPr>
            <w:tcW w:w="4550" w:type="dxa"/>
          </w:tcPr>
          <w:p w14:paraId="169D8CDD" w14:textId="77777777" w:rsidR="007970FB" w:rsidRPr="000A0E9A" w:rsidRDefault="007970FB" w:rsidP="000F4B61">
            <w:pPr>
              <w:jc w:val="right"/>
              <w:rPr>
                <w:b/>
                <w:bCs/>
                <w:sz w:val="22"/>
                <w:szCs w:val="22"/>
              </w:rPr>
            </w:pPr>
            <w:r w:rsidRPr="000A0E9A">
              <w:rPr>
                <w:b/>
                <w:bCs/>
                <w:sz w:val="22"/>
                <w:szCs w:val="22"/>
              </w:rPr>
              <w:t>Tax Remitted</w:t>
            </w:r>
          </w:p>
        </w:tc>
        <w:tc>
          <w:tcPr>
            <w:tcW w:w="144" w:type="dxa"/>
          </w:tcPr>
          <w:p w14:paraId="3531AE23" w14:textId="77777777" w:rsidR="007970FB" w:rsidRPr="000A0E9A" w:rsidRDefault="007970FB" w:rsidP="000F4B61">
            <w:pPr>
              <w:rPr>
                <w:sz w:val="22"/>
                <w:szCs w:val="22"/>
              </w:rPr>
            </w:pPr>
          </w:p>
        </w:tc>
        <w:tc>
          <w:tcPr>
            <w:tcW w:w="2275" w:type="dxa"/>
            <w:tcBorders>
              <w:bottom w:val="single" w:sz="4" w:space="0" w:color="auto"/>
            </w:tcBorders>
            <w:vAlign w:val="bottom"/>
          </w:tcPr>
          <w:p w14:paraId="4DF242DD" w14:textId="77777777" w:rsidR="007970FB" w:rsidRPr="000A0E9A" w:rsidRDefault="007970FB" w:rsidP="000F4B61">
            <w:pPr>
              <w:jc w:val="center"/>
              <w:rPr>
                <w:sz w:val="22"/>
                <w:szCs w:val="22"/>
              </w:rPr>
            </w:pPr>
            <w:r w:rsidRPr="000A0E9A">
              <w:rPr>
                <w:sz w:val="22"/>
                <w:szCs w:val="22"/>
              </w:rPr>
              <w:fldChar w:fldCharType="begin">
                <w:ffData>
                  <w:name w:val="Text18"/>
                  <w:enabled/>
                  <w:calcOnExit w:val="0"/>
                  <w:textInput/>
                </w:ffData>
              </w:fldChar>
            </w:r>
            <w:bookmarkStart w:id="17" w:name="Text18"/>
            <w:r w:rsidRPr="000A0E9A">
              <w:rPr>
                <w:sz w:val="22"/>
                <w:szCs w:val="22"/>
              </w:rPr>
              <w:instrText xml:space="preserve"> FORMTEXT </w:instrText>
            </w:r>
            <w:r w:rsidRPr="000A0E9A">
              <w:rPr>
                <w:sz w:val="22"/>
                <w:szCs w:val="22"/>
              </w:rPr>
            </w:r>
            <w:r w:rsidRPr="000A0E9A">
              <w:rPr>
                <w:sz w:val="22"/>
                <w:szCs w:val="22"/>
              </w:rPr>
              <w:fldChar w:fldCharType="separate"/>
            </w:r>
            <w:r w:rsidRPr="000A0E9A">
              <w:rPr>
                <w:noProof/>
                <w:sz w:val="22"/>
                <w:szCs w:val="22"/>
              </w:rPr>
              <w:t> </w:t>
            </w:r>
            <w:r w:rsidRPr="000A0E9A">
              <w:rPr>
                <w:noProof/>
                <w:sz w:val="22"/>
                <w:szCs w:val="22"/>
              </w:rPr>
              <w:t> </w:t>
            </w:r>
            <w:r w:rsidRPr="000A0E9A">
              <w:rPr>
                <w:noProof/>
                <w:sz w:val="22"/>
                <w:szCs w:val="22"/>
              </w:rPr>
              <w:t> </w:t>
            </w:r>
            <w:r w:rsidRPr="000A0E9A">
              <w:rPr>
                <w:noProof/>
                <w:sz w:val="22"/>
                <w:szCs w:val="22"/>
              </w:rPr>
              <w:t> </w:t>
            </w:r>
            <w:r w:rsidRPr="000A0E9A">
              <w:rPr>
                <w:noProof/>
                <w:sz w:val="22"/>
                <w:szCs w:val="22"/>
              </w:rPr>
              <w:t> </w:t>
            </w:r>
            <w:r w:rsidRPr="000A0E9A">
              <w:rPr>
                <w:sz w:val="22"/>
                <w:szCs w:val="22"/>
              </w:rPr>
              <w:fldChar w:fldCharType="end"/>
            </w:r>
            <w:bookmarkEnd w:id="17"/>
          </w:p>
        </w:tc>
        <w:tc>
          <w:tcPr>
            <w:tcW w:w="144" w:type="dxa"/>
            <w:vAlign w:val="bottom"/>
          </w:tcPr>
          <w:p w14:paraId="61FC036E" w14:textId="77777777" w:rsidR="007970FB" w:rsidRPr="000A0E9A" w:rsidRDefault="007970FB" w:rsidP="000F4B61">
            <w:pPr>
              <w:jc w:val="center"/>
              <w:rPr>
                <w:sz w:val="22"/>
                <w:szCs w:val="22"/>
              </w:rPr>
            </w:pPr>
          </w:p>
        </w:tc>
        <w:tc>
          <w:tcPr>
            <w:tcW w:w="2275" w:type="dxa"/>
            <w:tcBorders>
              <w:bottom w:val="single" w:sz="4" w:space="0" w:color="auto"/>
            </w:tcBorders>
            <w:vAlign w:val="bottom"/>
          </w:tcPr>
          <w:p w14:paraId="1C1C896D" w14:textId="77777777" w:rsidR="007970FB" w:rsidRPr="000A0E9A" w:rsidRDefault="007970FB" w:rsidP="000F4B61">
            <w:pPr>
              <w:jc w:val="center"/>
              <w:rPr>
                <w:sz w:val="22"/>
                <w:szCs w:val="22"/>
              </w:rPr>
            </w:pPr>
            <w:r w:rsidRPr="000A0E9A">
              <w:rPr>
                <w:sz w:val="22"/>
                <w:szCs w:val="22"/>
              </w:rPr>
              <w:fldChar w:fldCharType="begin">
                <w:ffData>
                  <w:name w:val="Text19"/>
                  <w:enabled/>
                  <w:calcOnExit w:val="0"/>
                  <w:textInput/>
                </w:ffData>
              </w:fldChar>
            </w:r>
            <w:bookmarkStart w:id="18" w:name="Text19"/>
            <w:r w:rsidRPr="000A0E9A">
              <w:rPr>
                <w:sz w:val="22"/>
                <w:szCs w:val="22"/>
              </w:rPr>
              <w:instrText xml:space="preserve"> FORMTEXT </w:instrText>
            </w:r>
            <w:r w:rsidRPr="000A0E9A">
              <w:rPr>
                <w:sz w:val="22"/>
                <w:szCs w:val="22"/>
              </w:rPr>
            </w:r>
            <w:r w:rsidRPr="000A0E9A">
              <w:rPr>
                <w:sz w:val="22"/>
                <w:szCs w:val="22"/>
              </w:rPr>
              <w:fldChar w:fldCharType="separate"/>
            </w:r>
            <w:r w:rsidRPr="000A0E9A">
              <w:rPr>
                <w:noProof/>
                <w:sz w:val="22"/>
                <w:szCs w:val="22"/>
              </w:rPr>
              <w:t> </w:t>
            </w:r>
            <w:r w:rsidRPr="000A0E9A">
              <w:rPr>
                <w:noProof/>
                <w:sz w:val="22"/>
                <w:szCs w:val="22"/>
              </w:rPr>
              <w:t> </w:t>
            </w:r>
            <w:r w:rsidRPr="000A0E9A">
              <w:rPr>
                <w:noProof/>
                <w:sz w:val="22"/>
                <w:szCs w:val="22"/>
              </w:rPr>
              <w:t> </w:t>
            </w:r>
            <w:r w:rsidRPr="000A0E9A">
              <w:rPr>
                <w:noProof/>
                <w:sz w:val="22"/>
                <w:szCs w:val="22"/>
              </w:rPr>
              <w:t> </w:t>
            </w:r>
            <w:r w:rsidRPr="000A0E9A">
              <w:rPr>
                <w:noProof/>
                <w:sz w:val="22"/>
                <w:szCs w:val="22"/>
              </w:rPr>
              <w:t> </w:t>
            </w:r>
            <w:r w:rsidRPr="000A0E9A">
              <w:rPr>
                <w:sz w:val="22"/>
                <w:szCs w:val="22"/>
              </w:rPr>
              <w:fldChar w:fldCharType="end"/>
            </w:r>
            <w:bookmarkEnd w:id="18"/>
          </w:p>
        </w:tc>
      </w:tr>
      <w:tr w:rsidR="007970FB" w:rsidRPr="000A0E9A" w14:paraId="2ABC65D9" w14:textId="77777777" w:rsidTr="000F4B61">
        <w:tc>
          <w:tcPr>
            <w:tcW w:w="4550" w:type="dxa"/>
          </w:tcPr>
          <w:p w14:paraId="1F7E5511" w14:textId="77777777" w:rsidR="007970FB" w:rsidRPr="000A0E9A" w:rsidRDefault="007970FB" w:rsidP="000F4B61">
            <w:pPr>
              <w:jc w:val="right"/>
              <w:rPr>
                <w:sz w:val="22"/>
                <w:szCs w:val="22"/>
              </w:rPr>
            </w:pPr>
          </w:p>
        </w:tc>
        <w:tc>
          <w:tcPr>
            <w:tcW w:w="144" w:type="dxa"/>
          </w:tcPr>
          <w:p w14:paraId="4C92310F" w14:textId="77777777" w:rsidR="007970FB" w:rsidRPr="000A0E9A" w:rsidRDefault="007970FB" w:rsidP="000F4B61">
            <w:pPr>
              <w:rPr>
                <w:sz w:val="22"/>
                <w:szCs w:val="22"/>
              </w:rPr>
            </w:pPr>
          </w:p>
        </w:tc>
        <w:tc>
          <w:tcPr>
            <w:tcW w:w="2275" w:type="dxa"/>
            <w:tcBorders>
              <w:top w:val="single" w:sz="4" w:space="0" w:color="auto"/>
            </w:tcBorders>
            <w:vAlign w:val="bottom"/>
          </w:tcPr>
          <w:p w14:paraId="1F70FC05" w14:textId="77777777" w:rsidR="007970FB" w:rsidRPr="000A0E9A" w:rsidRDefault="007970FB" w:rsidP="000F4B61">
            <w:pPr>
              <w:jc w:val="center"/>
              <w:rPr>
                <w:sz w:val="22"/>
                <w:szCs w:val="22"/>
              </w:rPr>
            </w:pPr>
          </w:p>
        </w:tc>
        <w:tc>
          <w:tcPr>
            <w:tcW w:w="144" w:type="dxa"/>
            <w:vAlign w:val="bottom"/>
          </w:tcPr>
          <w:p w14:paraId="4C81110D" w14:textId="77777777" w:rsidR="007970FB" w:rsidRPr="000A0E9A" w:rsidRDefault="007970FB" w:rsidP="000F4B61">
            <w:pPr>
              <w:jc w:val="center"/>
              <w:rPr>
                <w:sz w:val="22"/>
                <w:szCs w:val="22"/>
              </w:rPr>
            </w:pPr>
          </w:p>
        </w:tc>
        <w:tc>
          <w:tcPr>
            <w:tcW w:w="2275" w:type="dxa"/>
            <w:tcBorders>
              <w:top w:val="single" w:sz="4" w:space="0" w:color="auto"/>
            </w:tcBorders>
            <w:vAlign w:val="bottom"/>
          </w:tcPr>
          <w:p w14:paraId="0E77F345" w14:textId="77777777" w:rsidR="007970FB" w:rsidRPr="000A0E9A" w:rsidRDefault="007970FB" w:rsidP="000F4B61">
            <w:pPr>
              <w:jc w:val="center"/>
              <w:rPr>
                <w:sz w:val="22"/>
                <w:szCs w:val="22"/>
              </w:rPr>
            </w:pPr>
          </w:p>
        </w:tc>
      </w:tr>
      <w:tr w:rsidR="007970FB" w:rsidRPr="000A0E9A" w14:paraId="46A66FAE" w14:textId="77777777" w:rsidTr="000F4B61">
        <w:tc>
          <w:tcPr>
            <w:tcW w:w="4550" w:type="dxa"/>
          </w:tcPr>
          <w:p w14:paraId="189C1020" w14:textId="77777777" w:rsidR="007970FB" w:rsidRPr="000A0E9A" w:rsidRDefault="007970FB" w:rsidP="000F4B61">
            <w:pPr>
              <w:jc w:val="right"/>
              <w:rPr>
                <w:sz w:val="22"/>
                <w:szCs w:val="22"/>
              </w:rPr>
            </w:pPr>
            <w:r w:rsidRPr="000A0E9A">
              <w:rPr>
                <w:sz w:val="22"/>
                <w:szCs w:val="22"/>
              </w:rPr>
              <w:t>10% Penalty for Late Payment</w:t>
            </w:r>
          </w:p>
        </w:tc>
        <w:tc>
          <w:tcPr>
            <w:tcW w:w="144" w:type="dxa"/>
          </w:tcPr>
          <w:p w14:paraId="36234A62" w14:textId="77777777" w:rsidR="007970FB" w:rsidRPr="000A0E9A" w:rsidRDefault="007970FB" w:rsidP="000F4B61">
            <w:pPr>
              <w:rPr>
                <w:sz w:val="22"/>
                <w:szCs w:val="22"/>
              </w:rPr>
            </w:pPr>
          </w:p>
        </w:tc>
        <w:tc>
          <w:tcPr>
            <w:tcW w:w="2275" w:type="dxa"/>
            <w:tcBorders>
              <w:bottom w:val="single" w:sz="4" w:space="0" w:color="auto"/>
            </w:tcBorders>
            <w:vAlign w:val="bottom"/>
          </w:tcPr>
          <w:p w14:paraId="02E95245" w14:textId="77777777" w:rsidR="007970FB" w:rsidRPr="000A0E9A" w:rsidRDefault="007970FB" w:rsidP="000F4B61">
            <w:pPr>
              <w:jc w:val="center"/>
              <w:rPr>
                <w:sz w:val="22"/>
                <w:szCs w:val="22"/>
              </w:rPr>
            </w:pPr>
            <w:r w:rsidRPr="000A0E9A">
              <w:rPr>
                <w:sz w:val="22"/>
                <w:szCs w:val="22"/>
              </w:rPr>
              <w:fldChar w:fldCharType="begin">
                <w:ffData>
                  <w:name w:val="Text20"/>
                  <w:enabled/>
                  <w:calcOnExit w:val="0"/>
                  <w:textInput/>
                </w:ffData>
              </w:fldChar>
            </w:r>
            <w:bookmarkStart w:id="19" w:name="Text20"/>
            <w:r w:rsidRPr="000A0E9A">
              <w:rPr>
                <w:sz w:val="22"/>
                <w:szCs w:val="22"/>
              </w:rPr>
              <w:instrText xml:space="preserve"> FORMTEXT </w:instrText>
            </w:r>
            <w:r w:rsidRPr="000A0E9A">
              <w:rPr>
                <w:sz w:val="22"/>
                <w:szCs w:val="22"/>
              </w:rPr>
            </w:r>
            <w:r w:rsidRPr="000A0E9A">
              <w:rPr>
                <w:sz w:val="22"/>
                <w:szCs w:val="22"/>
              </w:rPr>
              <w:fldChar w:fldCharType="separate"/>
            </w:r>
            <w:r w:rsidRPr="000A0E9A">
              <w:rPr>
                <w:noProof/>
                <w:sz w:val="22"/>
                <w:szCs w:val="22"/>
              </w:rPr>
              <w:t> </w:t>
            </w:r>
            <w:r w:rsidRPr="000A0E9A">
              <w:rPr>
                <w:noProof/>
                <w:sz w:val="22"/>
                <w:szCs w:val="22"/>
              </w:rPr>
              <w:t> </w:t>
            </w:r>
            <w:r w:rsidRPr="000A0E9A">
              <w:rPr>
                <w:noProof/>
                <w:sz w:val="22"/>
                <w:szCs w:val="22"/>
              </w:rPr>
              <w:t> </w:t>
            </w:r>
            <w:r w:rsidRPr="000A0E9A">
              <w:rPr>
                <w:noProof/>
                <w:sz w:val="22"/>
                <w:szCs w:val="22"/>
              </w:rPr>
              <w:t> </w:t>
            </w:r>
            <w:r w:rsidRPr="000A0E9A">
              <w:rPr>
                <w:noProof/>
                <w:sz w:val="22"/>
                <w:szCs w:val="22"/>
              </w:rPr>
              <w:t> </w:t>
            </w:r>
            <w:r w:rsidRPr="000A0E9A">
              <w:rPr>
                <w:sz w:val="22"/>
                <w:szCs w:val="22"/>
              </w:rPr>
              <w:fldChar w:fldCharType="end"/>
            </w:r>
            <w:bookmarkEnd w:id="19"/>
          </w:p>
        </w:tc>
        <w:tc>
          <w:tcPr>
            <w:tcW w:w="144" w:type="dxa"/>
            <w:vAlign w:val="bottom"/>
          </w:tcPr>
          <w:p w14:paraId="4C05CB2D" w14:textId="77777777" w:rsidR="007970FB" w:rsidRPr="000A0E9A" w:rsidRDefault="007970FB" w:rsidP="000F4B61">
            <w:pPr>
              <w:jc w:val="center"/>
              <w:rPr>
                <w:sz w:val="22"/>
                <w:szCs w:val="22"/>
              </w:rPr>
            </w:pPr>
          </w:p>
        </w:tc>
        <w:tc>
          <w:tcPr>
            <w:tcW w:w="2275" w:type="dxa"/>
            <w:tcBorders>
              <w:bottom w:val="single" w:sz="4" w:space="0" w:color="auto"/>
            </w:tcBorders>
            <w:vAlign w:val="bottom"/>
          </w:tcPr>
          <w:p w14:paraId="15505A57" w14:textId="77777777" w:rsidR="007970FB" w:rsidRPr="000A0E9A" w:rsidRDefault="007970FB" w:rsidP="000F4B61">
            <w:pPr>
              <w:jc w:val="center"/>
              <w:rPr>
                <w:sz w:val="22"/>
                <w:szCs w:val="22"/>
              </w:rPr>
            </w:pPr>
            <w:r w:rsidRPr="000A0E9A">
              <w:rPr>
                <w:sz w:val="22"/>
                <w:szCs w:val="22"/>
              </w:rPr>
              <w:fldChar w:fldCharType="begin">
                <w:ffData>
                  <w:name w:val="Text21"/>
                  <w:enabled/>
                  <w:calcOnExit w:val="0"/>
                  <w:textInput/>
                </w:ffData>
              </w:fldChar>
            </w:r>
            <w:bookmarkStart w:id="20" w:name="Text21"/>
            <w:r w:rsidRPr="000A0E9A">
              <w:rPr>
                <w:sz w:val="22"/>
                <w:szCs w:val="22"/>
              </w:rPr>
              <w:instrText xml:space="preserve"> FORMTEXT </w:instrText>
            </w:r>
            <w:r w:rsidRPr="000A0E9A">
              <w:rPr>
                <w:sz w:val="22"/>
                <w:szCs w:val="22"/>
              </w:rPr>
            </w:r>
            <w:r w:rsidRPr="000A0E9A">
              <w:rPr>
                <w:sz w:val="22"/>
                <w:szCs w:val="22"/>
              </w:rPr>
              <w:fldChar w:fldCharType="separate"/>
            </w:r>
            <w:r w:rsidRPr="000A0E9A">
              <w:rPr>
                <w:noProof/>
                <w:sz w:val="22"/>
                <w:szCs w:val="22"/>
              </w:rPr>
              <w:t> </w:t>
            </w:r>
            <w:r w:rsidRPr="000A0E9A">
              <w:rPr>
                <w:noProof/>
                <w:sz w:val="22"/>
                <w:szCs w:val="22"/>
              </w:rPr>
              <w:t> </w:t>
            </w:r>
            <w:r w:rsidRPr="000A0E9A">
              <w:rPr>
                <w:noProof/>
                <w:sz w:val="22"/>
                <w:szCs w:val="22"/>
              </w:rPr>
              <w:t> </w:t>
            </w:r>
            <w:r w:rsidRPr="000A0E9A">
              <w:rPr>
                <w:noProof/>
                <w:sz w:val="22"/>
                <w:szCs w:val="22"/>
              </w:rPr>
              <w:t> </w:t>
            </w:r>
            <w:r w:rsidRPr="000A0E9A">
              <w:rPr>
                <w:noProof/>
                <w:sz w:val="22"/>
                <w:szCs w:val="22"/>
              </w:rPr>
              <w:t> </w:t>
            </w:r>
            <w:r w:rsidRPr="000A0E9A">
              <w:rPr>
                <w:sz w:val="22"/>
                <w:szCs w:val="22"/>
              </w:rPr>
              <w:fldChar w:fldCharType="end"/>
            </w:r>
            <w:bookmarkEnd w:id="20"/>
          </w:p>
        </w:tc>
      </w:tr>
      <w:tr w:rsidR="007970FB" w:rsidRPr="000A0E9A" w14:paraId="1A3042BD" w14:textId="77777777" w:rsidTr="000F4B61">
        <w:tc>
          <w:tcPr>
            <w:tcW w:w="4550" w:type="dxa"/>
          </w:tcPr>
          <w:p w14:paraId="7A174943" w14:textId="77777777" w:rsidR="007970FB" w:rsidRPr="000A0E9A" w:rsidRDefault="007970FB" w:rsidP="000F4B61">
            <w:pPr>
              <w:jc w:val="right"/>
              <w:rPr>
                <w:sz w:val="22"/>
                <w:szCs w:val="22"/>
              </w:rPr>
            </w:pPr>
          </w:p>
        </w:tc>
        <w:tc>
          <w:tcPr>
            <w:tcW w:w="144" w:type="dxa"/>
          </w:tcPr>
          <w:p w14:paraId="6A62947C" w14:textId="77777777" w:rsidR="007970FB" w:rsidRPr="000A0E9A" w:rsidRDefault="007970FB" w:rsidP="000F4B61">
            <w:pPr>
              <w:rPr>
                <w:sz w:val="22"/>
                <w:szCs w:val="22"/>
              </w:rPr>
            </w:pPr>
          </w:p>
        </w:tc>
        <w:tc>
          <w:tcPr>
            <w:tcW w:w="2275" w:type="dxa"/>
            <w:tcBorders>
              <w:top w:val="single" w:sz="4" w:space="0" w:color="auto"/>
            </w:tcBorders>
            <w:vAlign w:val="bottom"/>
          </w:tcPr>
          <w:p w14:paraId="62E750B5" w14:textId="77777777" w:rsidR="007970FB" w:rsidRPr="000A0E9A" w:rsidRDefault="007970FB" w:rsidP="000F4B61">
            <w:pPr>
              <w:jc w:val="center"/>
              <w:rPr>
                <w:sz w:val="22"/>
                <w:szCs w:val="22"/>
              </w:rPr>
            </w:pPr>
          </w:p>
        </w:tc>
        <w:tc>
          <w:tcPr>
            <w:tcW w:w="144" w:type="dxa"/>
            <w:vAlign w:val="bottom"/>
          </w:tcPr>
          <w:p w14:paraId="5F100CAA" w14:textId="77777777" w:rsidR="007970FB" w:rsidRPr="000A0E9A" w:rsidRDefault="007970FB" w:rsidP="000F4B61">
            <w:pPr>
              <w:jc w:val="center"/>
              <w:rPr>
                <w:sz w:val="22"/>
                <w:szCs w:val="22"/>
              </w:rPr>
            </w:pPr>
          </w:p>
        </w:tc>
        <w:tc>
          <w:tcPr>
            <w:tcW w:w="2275" w:type="dxa"/>
            <w:tcBorders>
              <w:top w:val="single" w:sz="4" w:space="0" w:color="auto"/>
            </w:tcBorders>
            <w:vAlign w:val="bottom"/>
          </w:tcPr>
          <w:p w14:paraId="05C2B898" w14:textId="77777777" w:rsidR="007970FB" w:rsidRPr="000A0E9A" w:rsidRDefault="007970FB" w:rsidP="000F4B61">
            <w:pPr>
              <w:jc w:val="center"/>
              <w:rPr>
                <w:sz w:val="22"/>
                <w:szCs w:val="22"/>
              </w:rPr>
            </w:pPr>
          </w:p>
        </w:tc>
      </w:tr>
      <w:tr w:rsidR="007970FB" w:rsidRPr="000A0E9A" w14:paraId="5238449E" w14:textId="77777777" w:rsidTr="000F4B61">
        <w:tc>
          <w:tcPr>
            <w:tcW w:w="4550" w:type="dxa"/>
          </w:tcPr>
          <w:p w14:paraId="487D03E2" w14:textId="77777777" w:rsidR="007970FB" w:rsidRPr="000A0E9A" w:rsidRDefault="007970FB" w:rsidP="000F4B61">
            <w:pPr>
              <w:jc w:val="right"/>
              <w:rPr>
                <w:b/>
                <w:bCs/>
                <w:sz w:val="22"/>
                <w:szCs w:val="22"/>
              </w:rPr>
            </w:pPr>
            <w:r w:rsidRPr="000A0E9A">
              <w:rPr>
                <w:b/>
                <w:bCs/>
                <w:sz w:val="22"/>
                <w:szCs w:val="22"/>
              </w:rPr>
              <w:t>Grand Total Remitted</w:t>
            </w:r>
          </w:p>
        </w:tc>
        <w:tc>
          <w:tcPr>
            <w:tcW w:w="144" w:type="dxa"/>
          </w:tcPr>
          <w:p w14:paraId="7F0AC9EB" w14:textId="77777777" w:rsidR="007970FB" w:rsidRPr="000A0E9A" w:rsidRDefault="007970FB" w:rsidP="000F4B61">
            <w:pPr>
              <w:rPr>
                <w:sz w:val="22"/>
                <w:szCs w:val="22"/>
              </w:rPr>
            </w:pPr>
          </w:p>
        </w:tc>
        <w:tc>
          <w:tcPr>
            <w:tcW w:w="2275" w:type="dxa"/>
            <w:vAlign w:val="bottom"/>
          </w:tcPr>
          <w:p w14:paraId="5BF12DE3" w14:textId="77777777" w:rsidR="007970FB" w:rsidRPr="000A0E9A" w:rsidRDefault="007970FB" w:rsidP="000F4B61">
            <w:pPr>
              <w:jc w:val="center"/>
              <w:rPr>
                <w:sz w:val="22"/>
                <w:szCs w:val="22"/>
              </w:rPr>
            </w:pPr>
          </w:p>
        </w:tc>
        <w:tc>
          <w:tcPr>
            <w:tcW w:w="144" w:type="dxa"/>
            <w:vAlign w:val="bottom"/>
          </w:tcPr>
          <w:p w14:paraId="4E7A3E7F" w14:textId="77777777" w:rsidR="007970FB" w:rsidRPr="000A0E9A" w:rsidRDefault="007970FB" w:rsidP="000F4B61">
            <w:pPr>
              <w:jc w:val="center"/>
              <w:rPr>
                <w:sz w:val="22"/>
                <w:szCs w:val="22"/>
              </w:rPr>
            </w:pPr>
          </w:p>
        </w:tc>
        <w:tc>
          <w:tcPr>
            <w:tcW w:w="2275" w:type="dxa"/>
            <w:tcBorders>
              <w:bottom w:val="double" w:sz="4" w:space="0" w:color="auto"/>
            </w:tcBorders>
            <w:vAlign w:val="bottom"/>
          </w:tcPr>
          <w:p w14:paraId="42BC7098" w14:textId="77777777" w:rsidR="007970FB" w:rsidRPr="000A0E9A" w:rsidRDefault="007970FB" w:rsidP="000F4B61">
            <w:pPr>
              <w:jc w:val="center"/>
              <w:rPr>
                <w:sz w:val="22"/>
                <w:szCs w:val="22"/>
              </w:rPr>
            </w:pPr>
            <w:r w:rsidRPr="000A0E9A">
              <w:rPr>
                <w:sz w:val="22"/>
                <w:szCs w:val="22"/>
              </w:rPr>
              <w:fldChar w:fldCharType="begin">
                <w:ffData>
                  <w:name w:val="Text22"/>
                  <w:enabled/>
                  <w:calcOnExit w:val="0"/>
                  <w:textInput/>
                </w:ffData>
              </w:fldChar>
            </w:r>
            <w:bookmarkStart w:id="21" w:name="Text22"/>
            <w:r w:rsidRPr="000A0E9A">
              <w:rPr>
                <w:sz w:val="22"/>
                <w:szCs w:val="22"/>
              </w:rPr>
              <w:instrText xml:space="preserve"> FORMTEXT </w:instrText>
            </w:r>
            <w:r w:rsidRPr="000A0E9A">
              <w:rPr>
                <w:sz w:val="22"/>
                <w:szCs w:val="22"/>
              </w:rPr>
            </w:r>
            <w:r w:rsidRPr="000A0E9A">
              <w:rPr>
                <w:sz w:val="22"/>
                <w:szCs w:val="22"/>
              </w:rPr>
              <w:fldChar w:fldCharType="separate"/>
            </w:r>
            <w:r w:rsidRPr="000A0E9A">
              <w:rPr>
                <w:noProof/>
                <w:sz w:val="22"/>
                <w:szCs w:val="22"/>
              </w:rPr>
              <w:t> </w:t>
            </w:r>
            <w:r w:rsidRPr="000A0E9A">
              <w:rPr>
                <w:noProof/>
                <w:sz w:val="22"/>
                <w:szCs w:val="22"/>
              </w:rPr>
              <w:t> </w:t>
            </w:r>
            <w:r w:rsidRPr="000A0E9A">
              <w:rPr>
                <w:noProof/>
                <w:sz w:val="22"/>
                <w:szCs w:val="22"/>
              </w:rPr>
              <w:t> </w:t>
            </w:r>
            <w:r w:rsidRPr="000A0E9A">
              <w:rPr>
                <w:noProof/>
                <w:sz w:val="22"/>
                <w:szCs w:val="22"/>
              </w:rPr>
              <w:t> </w:t>
            </w:r>
            <w:r w:rsidRPr="000A0E9A">
              <w:rPr>
                <w:noProof/>
                <w:sz w:val="22"/>
                <w:szCs w:val="22"/>
              </w:rPr>
              <w:t> </w:t>
            </w:r>
            <w:r w:rsidRPr="000A0E9A">
              <w:rPr>
                <w:sz w:val="22"/>
                <w:szCs w:val="22"/>
              </w:rPr>
              <w:fldChar w:fldCharType="end"/>
            </w:r>
            <w:bookmarkEnd w:id="21"/>
          </w:p>
        </w:tc>
      </w:tr>
    </w:tbl>
    <w:p w14:paraId="53AD5397" w14:textId="77777777" w:rsidR="007970FB" w:rsidRPr="00A64E0C" w:rsidRDefault="007970FB" w:rsidP="000A0E9A">
      <w:pPr>
        <w:jc w:val="center"/>
        <w:rPr>
          <w:sz w:val="22"/>
          <w:szCs w:val="22"/>
        </w:rPr>
      </w:pPr>
    </w:p>
    <w:p w14:paraId="3B6C9ACD" w14:textId="77777777" w:rsidR="007970FB" w:rsidRPr="00A64E0C" w:rsidRDefault="007970FB" w:rsidP="007970FB">
      <w:pPr>
        <w:ind w:left="-720" w:right="-720"/>
        <w:jc w:val="center"/>
        <w:rPr>
          <w:sz w:val="22"/>
          <w:szCs w:val="24"/>
        </w:rPr>
      </w:pPr>
    </w:p>
    <w:p w14:paraId="507B873C" w14:textId="77777777" w:rsidR="007970FB" w:rsidRPr="000A0E9A" w:rsidRDefault="007970FB" w:rsidP="000A0E9A">
      <w:pPr>
        <w:ind w:left="-1440" w:right="-1440"/>
        <w:jc w:val="center"/>
      </w:pPr>
      <w:r w:rsidRPr="000A0E9A">
        <w:t xml:space="preserve">I, </w:t>
      </w:r>
      <w:r w:rsidRPr="00A64E0C">
        <w:rPr>
          <w:u w:val="single"/>
        </w:rPr>
        <w:fldChar w:fldCharType="begin">
          <w:ffData>
            <w:name w:val="Text23"/>
            <w:enabled/>
            <w:calcOnExit w:val="0"/>
            <w:textInput>
              <w:default w:val="(Name, Title)"/>
            </w:textInput>
          </w:ffData>
        </w:fldChar>
      </w:r>
      <w:bookmarkStart w:id="22" w:name="Text23"/>
      <w:r w:rsidRPr="00A64E0C">
        <w:rPr>
          <w:u w:val="single"/>
        </w:rPr>
        <w:instrText xml:space="preserve"> FORMTEXT </w:instrText>
      </w:r>
      <w:r w:rsidRPr="00A64E0C">
        <w:rPr>
          <w:u w:val="single"/>
        </w:rPr>
      </w:r>
      <w:r w:rsidRPr="00A64E0C">
        <w:rPr>
          <w:u w:val="single"/>
        </w:rPr>
        <w:fldChar w:fldCharType="separate"/>
      </w:r>
      <w:r w:rsidRPr="00A64E0C">
        <w:rPr>
          <w:noProof/>
          <w:u w:val="single"/>
        </w:rPr>
        <w:t>(Name, Title)</w:t>
      </w:r>
      <w:r w:rsidRPr="00A64E0C">
        <w:rPr>
          <w:u w:val="single"/>
        </w:rPr>
        <w:fldChar w:fldCharType="end"/>
      </w:r>
      <w:bookmarkEnd w:id="22"/>
      <w:r w:rsidRPr="000A0E9A">
        <w:t xml:space="preserve"> of the corporation named above, on oath, do say that this return has been prepared</w:t>
      </w:r>
    </w:p>
    <w:p w14:paraId="2DFFDDB1" w14:textId="77777777" w:rsidR="007970FB" w:rsidRPr="000A0E9A" w:rsidRDefault="007970FB" w:rsidP="000A0E9A">
      <w:pPr>
        <w:ind w:left="-1440" w:right="-1440"/>
        <w:jc w:val="center"/>
      </w:pPr>
      <w:r w:rsidRPr="000A0E9A">
        <w:t>from the original records of the company, that I have read it, and that it is true to the best of my knowledge, information, and belief.</w:t>
      </w:r>
    </w:p>
    <w:p w14:paraId="4BE8A16C" w14:textId="77777777" w:rsidR="007970FB" w:rsidRPr="000A0E9A" w:rsidRDefault="007970FB" w:rsidP="000A0E9A">
      <w:pPr>
        <w:ind w:left="-1440" w:right="-1440"/>
        <w:jc w:val="center"/>
      </w:pPr>
      <w:r w:rsidRPr="000A0E9A">
        <w:t xml:space="preserve">Date:  </w:t>
      </w:r>
      <w:r w:rsidRPr="000A0E9A">
        <w:rPr>
          <w:u w:val="single"/>
        </w:rPr>
        <w:fldChar w:fldCharType="begin">
          <w:ffData>
            <w:name w:val="Text24"/>
            <w:enabled/>
            <w:calcOnExit w:val="0"/>
            <w:textInput/>
          </w:ffData>
        </w:fldChar>
      </w:r>
      <w:bookmarkStart w:id="23" w:name="Text24"/>
      <w:r w:rsidRPr="000A0E9A">
        <w:rPr>
          <w:u w:val="single"/>
        </w:rPr>
        <w:instrText xml:space="preserve"> FORMTEXT </w:instrText>
      </w:r>
      <w:r w:rsidRPr="000A0E9A">
        <w:rPr>
          <w:u w:val="single"/>
        </w:rPr>
      </w:r>
      <w:r w:rsidRPr="000A0E9A">
        <w:rPr>
          <w:u w:val="single"/>
        </w:rPr>
        <w:fldChar w:fldCharType="separate"/>
      </w:r>
      <w:r w:rsidRPr="000A0E9A">
        <w:rPr>
          <w:noProof/>
          <w:u w:val="single"/>
        </w:rPr>
        <w:t> </w:t>
      </w:r>
      <w:r w:rsidRPr="000A0E9A">
        <w:rPr>
          <w:noProof/>
          <w:u w:val="single"/>
        </w:rPr>
        <w:t> </w:t>
      </w:r>
      <w:r w:rsidRPr="000A0E9A">
        <w:rPr>
          <w:noProof/>
          <w:u w:val="single"/>
        </w:rPr>
        <w:t> </w:t>
      </w:r>
      <w:r w:rsidRPr="000A0E9A">
        <w:rPr>
          <w:noProof/>
          <w:u w:val="single"/>
        </w:rPr>
        <w:t> </w:t>
      </w:r>
      <w:r w:rsidRPr="000A0E9A">
        <w:rPr>
          <w:noProof/>
          <w:u w:val="single"/>
        </w:rPr>
        <w:t> </w:t>
      </w:r>
      <w:r w:rsidRPr="000A0E9A">
        <w:rPr>
          <w:u w:val="single"/>
        </w:rPr>
        <w:fldChar w:fldCharType="end"/>
      </w:r>
      <w:bookmarkEnd w:id="23"/>
      <w:r w:rsidRPr="000A0E9A">
        <w:t xml:space="preserve">  Telephone Number:  </w:t>
      </w:r>
      <w:r w:rsidRPr="000A0E9A">
        <w:rPr>
          <w:u w:val="single"/>
        </w:rPr>
        <w:fldChar w:fldCharType="begin">
          <w:ffData>
            <w:name w:val="Text25"/>
            <w:enabled/>
            <w:calcOnExit w:val="0"/>
            <w:textInput/>
          </w:ffData>
        </w:fldChar>
      </w:r>
      <w:bookmarkStart w:id="24" w:name="Text25"/>
      <w:r w:rsidRPr="000A0E9A">
        <w:rPr>
          <w:u w:val="single"/>
        </w:rPr>
        <w:instrText xml:space="preserve"> FORMTEXT </w:instrText>
      </w:r>
      <w:r w:rsidRPr="000A0E9A">
        <w:rPr>
          <w:u w:val="single"/>
        </w:rPr>
      </w:r>
      <w:r w:rsidRPr="000A0E9A">
        <w:rPr>
          <w:u w:val="single"/>
        </w:rPr>
        <w:fldChar w:fldCharType="separate"/>
      </w:r>
      <w:r w:rsidRPr="000A0E9A">
        <w:rPr>
          <w:noProof/>
          <w:u w:val="single"/>
        </w:rPr>
        <w:t> </w:t>
      </w:r>
      <w:r w:rsidRPr="000A0E9A">
        <w:rPr>
          <w:noProof/>
          <w:u w:val="single"/>
        </w:rPr>
        <w:t> </w:t>
      </w:r>
      <w:r w:rsidRPr="000A0E9A">
        <w:rPr>
          <w:noProof/>
          <w:u w:val="single"/>
        </w:rPr>
        <w:t> </w:t>
      </w:r>
      <w:r w:rsidRPr="000A0E9A">
        <w:rPr>
          <w:noProof/>
          <w:u w:val="single"/>
        </w:rPr>
        <w:t> </w:t>
      </w:r>
      <w:r w:rsidRPr="000A0E9A">
        <w:rPr>
          <w:noProof/>
          <w:u w:val="single"/>
        </w:rPr>
        <w:t> </w:t>
      </w:r>
      <w:r w:rsidRPr="000A0E9A">
        <w:rPr>
          <w:u w:val="single"/>
        </w:rPr>
        <w:fldChar w:fldCharType="end"/>
      </w:r>
      <w:bookmarkEnd w:id="24"/>
      <w:r w:rsidRPr="000A0E9A">
        <w:t xml:space="preserve">  Email Address:  </w:t>
      </w:r>
      <w:r w:rsidRPr="000A0E9A">
        <w:rPr>
          <w:u w:val="single"/>
        </w:rPr>
        <w:fldChar w:fldCharType="begin">
          <w:ffData>
            <w:name w:val="Text26"/>
            <w:enabled/>
            <w:calcOnExit w:val="0"/>
            <w:textInput/>
          </w:ffData>
        </w:fldChar>
      </w:r>
      <w:bookmarkStart w:id="25" w:name="Text26"/>
      <w:r w:rsidRPr="000A0E9A">
        <w:rPr>
          <w:u w:val="single"/>
        </w:rPr>
        <w:instrText xml:space="preserve"> FORMTEXT </w:instrText>
      </w:r>
      <w:r w:rsidRPr="000A0E9A">
        <w:rPr>
          <w:u w:val="single"/>
        </w:rPr>
      </w:r>
      <w:r w:rsidRPr="000A0E9A">
        <w:rPr>
          <w:u w:val="single"/>
        </w:rPr>
        <w:fldChar w:fldCharType="separate"/>
      </w:r>
      <w:r w:rsidRPr="000A0E9A">
        <w:rPr>
          <w:noProof/>
          <w:u w:val="single"/>
        </w:rPr>
        <w:t> </w:t>
      </w:r>
      <w:r w:rsidRPr="000A0E9A">
        <w:rPr>
          <w:noProof/>
          <w:u w:val="single"/>
        </w:rPr>
        <w:t> </w:t>
      </w:r>
      <w:r w:rsidRPr="000A0E9A">
        <w:rPr>
          <w:noProof/>
          <w:u w:val="single"/>
        </w:rPr>
        <w:t> </w:t>
      </w:r>
      <w:r w:rsidRPr="000A0E9A">
        <w:rPr>
          <w:noProof/>
          <w:u w:val="single"/>
        </w:rPr>
        <w:t> </w:t>
      </w:r>
      <w:r w:rsidRPr="000A0E9A">
        <w:rPr>
          <w:noProof/>
          <w:u w:val="single"/>
        </w:rPr>
        <w:t> </w:t>
      </w:r>
      <w:r w:rsidRPr="000A0E9A">
        <w:rPr>
          <w:u w:val="single"/>
        </w:rPr>
        <w:fldChar w:fldCharType="end"/>
      </w:r>
      <w:bookmarkEnd w:id="25"/>
    </w:p>
    <w:p w14:paraId="36858912" w14:textId="77777777" w:rsidR="007970FB" w:rsidRPr="000A0E9A" w:rsidRDefault="007970FB" w:rsidP="000A0E9A">
      <w:pPr>
        <w:ind w:left="-1440" w:right="-1440"/>
        <w:jc w:val="center"/>
        <w:rPr>
          <w:sz w:val="22"/>
          <w:szCs w:val="22"/>
        </w:rPr>
      </w:pPr>
    </w:p>
    <w:p w14:paraId="3BE85367" w14:textId="77777777" w:rsidR="007970FB" w:rsidRPr="000A0E9A" w:rsidRDefault="007970FB" w:rsidP="000A0E9A">
      <w:pPr>
        <w:ind w:left="-1440" w:right="-1440"/>
        <w:jc w:val="center"/>
        <w:rPr>
          <w:b/>
          <w:bCs/>
          <w:sz w:val="22"/>
          <w:szCs w:val="22"/>
        </w:rPr>
      </w:pPr>
      <w:r w:rsidRPr="000A0E9A">
        <w:rPr>
          <w:b/>
          <w:bCs/>
          <w:sz w:val="22"/>
          <w:szCs w:val="22"/>
        </w:rPr>
        <w:t xml:space="preserve">This form must be returned with your remittance on or before the last day of the succeeding month of collection. </w:t>
      </w:r>
    </w:p>
    <w:p w14:paraId="5AD4646B" w14:textId="77777777" w:rsidR="007970FB" w:rsidRPr="000A0E9A" w:rsidRDefault="007970FB" w:rsidP="000A0E9A">
      <w:pPr>
        <w:ind w:left="-1440" w:right="-1440"/>
        <w:jc w:val="center"/>
        <w:rPr>
          <w:b/>
          <w:bCs/>
          <w:sz w:val="22"/>
          <w:szCs w:val="22"/>
        </w:rPr>
      </w:pPr>
      <w:r w:rsidRPr="000A0E9A">
        <w:rPr>
          <w:b/>
          <w:bCs/>
          <w:sz w:val="22"/>
          <w:szCs w:val="22"/>
        </w:rPr>
        <w:t>Failure to remit timely will result in a ten percent penalty pursuant to § 58.1-2905(C).</w:t>
      </w:r>
    </w:p>
    <w:p w14:paraId="211D3A16" w14:textId="77777777" w:rsidR="007970FB" w:rsidRPr="000A0E9A" w:rsidRDefault="007970FB" w:rsidP="000A0E9A">
      <w:pPr>
        <w:ind w:left="-1440" w:right="-1440"/>
        <w:jc w:val="center"/>
        <w:rPr>
          <w:sz w:val="22"/>
          <w:szCs w:val="22"/>
        </w:rPr>
      </w:pPr>
    </w:p>
    <w:p w14:paraId="794A0FF7" w14:textId="77777777" w:rsidR="007970FB" w:rsidRPr="000A0E9A" w:rsidRDefault="007970FB" w:rsidP="000A0E9A">
      <w:pPr>
        <w:ind w:left="-1440" w:right="-1440"/>
        <w:jc w:val="center"/>
        <w:rPr>
          <w:sz w:val="22"/>
          <w:szCs w:val="22"/>
        </w:rPr>
      </w:pPr>
      <w:r w:rsidRPr="000A0E9A">
        <w:rPr>
          <w:sz w:val="22"/>
          <w:szCs w:val="22"/>
        </w:rPr>
        <w:t xml:space="preserve">Make checks payable to </w:t>
      </w:r>
      <w:r w:rsidRPr="000A0E9A">
        <w:rPr>
          <w:b/>
          <w:bCs/>
          <w:sz w:val="22"/>
          <w:szCs w:val="22"/>
        </w:rPr>
        <w:t>TREASURER OF VIRGINIA</w:t>
      </w:r>
      <w:r w:rsidRPr="000A0E9A">
        <w:rPr>
          <w:sz w:val="22"/>
          <w:szCs w:val="22"/>
        </w:rPr>
        <w:t xml:space="preserve"> and send with this form to:</w:t>
      </w:r>
    </w:p>
    <w:p w14:paraId="29537CDB" w14:textId="77777777" w:rsidR="007970FB" w:rsidRPr="000A0E9A" w:rsidRDefault="007970FB" w:rsidP="000A0E9A">
      <w:pPr>
        <w:ind w:left="-1440" w:right="-1440"/>
        <w:jc w:val="center"/>
        <w:rPr>
          <w:b/>
          <w:bCs/>
          <w:sz w:val="22"/>
          <w:szCs w:val="22"/>
        </w:rPr>
      </w:pPr>
      <w:r w:rsidRPr="000A0E9A">
        <w:rPr>
          <w:b/>
          <w:bCs/>
          <w:sz w:val="22"/>
          <w:szCs w:val="22"/>
        </w:rPr>
        <w:t>STATE CORPORATION COMMISSION, PUBLIC SERVICE TAXATION DIVISION</w:t>
      </w:r>
    </w:p>
    <w:p w14:paraId="0936DB1E" w14:textId="0476E11F" w:rsidR="007970FB" w:rsidRPr="000A0E9A" w:rsidRDefault="007970FB" w:rsidP="000A0E9A">
      <w:pPr>
        <w:ind w:left="-1440" w:right="-1440"/>
        <w:jc w:val="center"/>
        <w:rPr>
          <w:b/>
          <w:bCs/>
          <w:sz w:val="22"/>
          <w:szCs w:val="22"/>
        </w:rPr>
      </w:pPr>
      <w:r w:rsidRPr="000A0E9A">
        <w:rPr>
          <w:b/>
          <w:bCs/>
          <w:sz w:val="22"/>
          <w:szCs w:val="22"/>
        </w:rPr>
        <w:t>P.O. BOX 1197, RICHMOND, VA 23218</w:t>
      </w:r>
    </w:p>
    <w:p w14:paraId="00AA200E" w14:textId="77777777" w:rsidR="007970FB" w:rsidRPr="000A0E9A" w:rsidRDefault="007970FB" w:rsidP="007970FB">
      <w:pPr>
        <w:ind w:left="-720" w:right="-720"/>
        <w:jc w:val="center"/>
        <w:rPr>
          <w:b/>
          <w:bCs/>
          <w:sz w:val="22"/>
          <w:szCs w:val="22"/>
        </w:rPr>
      </w:pPr>
    </w:p>
    <w:p w14:paraId="563CCEA1" w14:textId="77777777" w:rsidR="007970FB" w:rsidRPr="000A0E9A" w:rsidRDefault="007970FB" w:rsidP="007970FB">
      <w:pPr>
        <w:ind w:left="-720" w:right="-720"/>
        <w:jc w:val="center"/>
        <w:rPr>
          <w:b/>
          <w:bCs/>
          <w:sz w:val="22"/>
          <w:szCs w:val="22"/>
        </w:rPr>
      </w:pPr>
    </w:p>
    <w:p w14:paraId="3B3AA607" w14:textId="5E69B68A" w:rsidR="007970FB" w:rsidRPr="000A0E9A" w:rsidRDefault="007970FB" w:rsidP="007970FB">
      <w:pPr>
        <w:pStyle w:val="Subtitle"/>
        <w:ind w:left="-720" w:right="1440"/>
        <w:jc w:val="left"/>
        <w:rPr>
          <w:b w:val="0"/>
          <w:bCs/>
          <w:sz w:val="16"/>
        </w:rPr>
      </w:pPr>
      <w:r w:rsidRPr="000A0E9A">
        <w:rPr>
          <w:b w:val="0"/>
          <w:bCs/>
          <w:sz w:val="16"/>
          <w:szCs w:val="18"/>
        </w:rPr>
        <w:t>CCTD-NGCT-01/24</w:t>
      </w:r>
      <w:r w:rsidRPr="000A0E9A">
        <w:rPr>
          <w:b w:val="0"/>
          <w:bCs/>
          <w:sz w:val="16"/>
        </w:rPr>
        <w:br w:type="page"/>
      </w:r>
    </w:p>
    <w:p w14:paraId="34868FD5" w14:textId="77777777" w:rsidR="00B77229" w:rsidRDefault="00B77229">
      <w:pPr>
        <w:pStyle w:val="Subtitle"/>
        <w:jc w:val="left"/>
        <w:rPr>
          <w:b w:val="0"/>
          <w:sz w:val="16"/>
        </w:rPr>
      </w:pPr>
    </w:p>
    <w:p w14:paraId="54003342" w14:textId="77777777" w:rsidR="00B77229" w:rsidRDefault="00B77229">
      <w:pPr>
        <w:pStyle w:val="Header"/>
        <w:jc w:val="center"/>
        <w:rPr>
          <w:b/>
          <w:sz w:val="16"/>
        </w:rPr>
      </w:pPr>
      <w:r>
        <w:rPr>
          <w:b/>
          <w:sz w:val="16"/>
        </w:rPr>
        <w:t>NATURAL GAS CONSUMPTION TAX</w:t>
      </w:r>
    </w:p>
    <w:p w14:paraId="26BB4737" w14:textId="77777777" w:rsidR="00B77229" w:rsidRDefault="00B77229">
      <w:pPr>
        <w:pStyle w:val="Header"/>
        <w:jc w:val="center"/>
        <w:rPr>
          <w:b/>
          <w:sz w:val="16"/>
        </w:rPr>
      </w:pPr>
      <w:r>
        <w:rPr>
          <w:b/>
          <w:sz w:val="16"/>
        </w:rPr>
        <w:t xml:space="preserve">§§ 58.1-2904—2907 of the Code of </w:t>
      </w:r>
      <w:smartTag w:uri="urn:schemas-microsoft-com:office:smarttags" w:element="place">
        <w:smartTag w:uri="urn:schemas-microsoft-com:office:smarttags" w:element="State">
          <w:r>
            <w:rPr>
              <w:b/>
              <w:sz w:val="16"/>
            </w:rPr>
            <w:t>Virginia</w:t>
          </w:r>
        </w:smartTag>
      </w:smartTag>
    </w:p>
    <w:p w14:paraId="79A7D375" w14:textId="77777777" w:rsidR="00B77229" w:rsidRDefault="00B77229">
      <w:pPr>
        <w:pStyle w:val="Subtitle"/>
        <w:rPr>
          <w:b w:val="0"/>
          <w:sz w:val="16"/>
        </w:rPr>
      </w:pPr>
    </w:p>
    <w:p w14:paraId="36681E79" w14:textId="77777777" w:rsidR="00B77229" w:rsidRDefault="00B77229">
      <w:pPr>
        <w:pStyle w:val="Subtitle"/>
        <w:rPr>
          <w:b w:val="0"/>
          <w:sz w:val="16"/>
        </w:rPr>
      </w:pPr>
    </w:p>
    <w:p w14:paraId="5365E23F" w14:textId="77777777" w:rsidR="00B77229" w:rsidRDefault="00B77229">
      <w:pPr>
        <w:pStyle w:val="Subtitle"/>
        <w:jc w:val="left"/>
        <w:rPr>
          <w:b w:val="0"/>
          <w:sz w:val="16"/>
        </w:rPr>
        <w:sectPr w:rsidR="00B77229" w:rsidSect="00A64E0C">
          <w:pgSz w:w="12240" w:h="15840"/>
          <w:pgMar w:top="288" w:right="1440" w:bottom="288" w:left="1440" w:header="432" w:footer="720" w:gutter="0"/>
          <w:cols w:space="720"/>
          <w:docGrid w:linePitch="272"/>
        </w:sectPr>
      </w:pPr>
    </w:p>
    <w:p w14:paraId="06A56002" w14:textId="77777777" w:rsidR="00B77229" w:rsidRDefault="00B77229">
      <w:pPr>
        <w:tabs>
          <w:tab w:val="left" w:pos="2718"/>
        </w:tabs>
        <w:jc w:val="both"/>
        <w:rPr>
          <w:b/>
          <w:sz w:val="14"/>
        </w:rPr>
      </w:pPr>
      <w:r>
        <w:rPr>
          <w:b/>
          <w:sz w:val="14"/>
        </w:rPr>
        <w:t>§ 58.1-2904.Imposition of tax</w:t>
      </w:r>
    </w:p>
    <w:p w14:paraId="1160ED65" w14:textId="2C688394" w:rsidR="00B77229" w:rsidRDefault="00B77229">
      <w:pPr>
        <w:tabs>
          <w:tab w:val="left" w:pos="2718"/>
        </w:tabs>
        <w:jc w:val="both"/>
        <w:rPr>
          <w:sz w:val="14"/>
        </w:rPr>
      </w:pPr>
      <w:r>
        <w:rPr>
          <w:sz w:val="14"/>
        </w:rPr>
        <w:t>A. Effective January 1, 2001, there is hereby imposed, in addition to the local consumer utility tax of Article 4 (§ 58.1-3812 et seq.) of Chapter 38 of this title, a tax on the consumers of natural gas in the Commonwealth based on volume of gas at standard pressure and temperature in units of 100 cubic feet (CCF) delivered by the pipeline distribution company or gas utility and used per month. Each consumer of natural gas in the Commonwealth shall pay tax on the consumption of all natural gas consumed per month not in excess of 500 CCF at the following rates: (i) state consumption tax rate of $0.0135 per CCF, (ii) local consumption tax rate of $0.004 per CCF, and (iii) a special regulatory tax rate of up to $0.002</w:t>
      </w:r>
      <w:r w:rsidR="007970FB">
        <w:rPr>
          <w:sz w:val="14"/>
          <w:lang w:val="en-US"/>
        </w:rPr>
        <w:t>6</w:t>
      </w:r>
      <w:r>
        <w:rPr>
          <w:sz w:val="14"/>
        </w:rPr>
        <w:t xml:space="preserve"> per CCF. </w:t>
      </w:r>
    </w:p>
    <w:p w14:paraId="4E7FE5CD" w14:textId="77777777" w:rsidR="00B77229" w:rsidRDefault="00B77229">
      <w:pPr>
        <w:tabs>
          <w:tab w:val="left" w:pos="2718"/>
        </w:tabs>
        <w:jc w:val="both"/>
        <w:rPr>
          <w:sz w:val="14"/>
        </w:rPr>
      </w:pPr>
      <w:r>
        <w:rPr>
          <w:sz w:val="14"/>
        </w:rPr>
        <w:t>B. The tax rates set forth in subsection A are in lieu of and replace the state gross receipts tax pursuant to § 58.1-2</w:t>
      </w:r>
      <w:bookmarkStart w:id="26" w:name="_Hlt490034095"/>
      <w:r>
        <w:rPr>
          <w:sz w:val="14"/>
        </w:rPr>
        <w:t>6</w:t>
      </w:r>
      <w:bookmarkEnd w:id="26"/>
      <w:r>
        <w:rPr>
          <w:sz w:val="14"/>
        </w:rPr>
        <w:t xml:space="preserve">26, the special regulatory revenue tax pursuant to § 58.1-2660, and the local license tax pursuant to § 58.1-3731 levied on corporations furnishing heat, light or power by means of natural gas. </w:t>
      </w:r>
    </w:p>
    <w:p w14:paraId="1B9FC676" w14:textId="77777777" w:rsidR="00B77229" w:rsidRDefault="00B77229">
      <w:pPr>
        <w:tabs>
          <w:tab w:val="left" w:pos="2718"/>
        </w:tabs>
        <w:jc w:val="both"/>
        <w:rPr>
          <w:sz w:val="14"/>
        </w:rPr>
      </w:pPr>
      <w:r>
        <w:rPr>
          <w:sz w:val="14"/>
        </w:rPr>
        <w:t xml:space="preserve">C. The tax of consumers under this section shall not be imposed on consumers served by a gas utility owned or operated by a municipality. </w:t>
      </w:r>
    </w:p>
    <w:p w14:paraId="5B8D604D" w14:textId="77777777" w:rsidR="00B77229" w:rsidRDefault="00B77229">
      <w:pPr>
        <w:tabs>
          <w:tab w:val="left" w:pos="2718"/>
        </w:tabs>
        <w:jc w:val="both"/>
        <w:rPr>
          <w:sz w:val="14"/>
        </w:rPr>
      </w:pPr>
      <w:r>
        <w:rPr>
          <w:sz w:val="14"/>
        </w:rPr>
        <w:t xml:space="preserve">D. The tax authorized by this chapter shall not apply to use by divisions or agencies of federal, state and local governments. </w:t>
      </w:r>
    </w:p>
    <w:p w14:paraId="59B45618" w14:textId="77777777" w:rsidR="00B77229" w:rsidRDefault="00B77229">
      <w:pPr>
        <w:tabs>
          <w:tab w:val="left" w:pos="2718"/>
        </w:tabs>
        <w:jc w:val="both"/>
        <w:rPr>
          <w:sz w:val="14"/>
        </w:rPr>
      </w:pPr>
    </w:p>
    <w:p w14:paraId="7657B4AD" w14:textId="77777777" w:rsidR="00B77229" w:rsidRDefault="00B77229">
      <w:pPr>
        <w:tabs>
          <w:tab w:val="left" w:pos="2718"/>
        </w:tabs>
        <w:jc w:val="both"/>
        <w:rPr>
          <w:sz w:val="14"/>
        </w:rPr>
      </w:pPr>
      <w:r>
        <w:rPr>
          <w:b/>
          <w:sz w:val="14"/>
        </w:rPr>
        <w:t>§ 58.1-2905 Collection and remittance of tax</w:t>
      </w:r>
    </w:p>
    <w:p w14:paraId="1DBB4883" w14:textId="77777777" w:rsidR="00B77229" w:rsidRDefault="00B77229">
      <w:pPr>
        <w:tabs>
          <w:tab w:val="left" w:pos="2718"/>
        </w:tabs>
        <w:jc w:val="both"/>
        <w:rPr>
          <w:sz w:val="14"/>
        </w:rPr>
      </w:pPr>
      <w:r>
        <w:rPr>
          <w:sz w:val="14"/>
        </w:rPr>
        <w:t xml:space="preserve">A. A pipeline distribution company or gas utility shall collect the tax from the consumer by adding it as a separate charge to the consumer's monthly statement. Until the consumer pays the tax to such company, the tax shall constitute a debt of the consumer to the Commonwealth. If any consumer receives and pays for gas but refuses to pay the tax that is imposed by the Commonwealth, the pipeline distribution company or gas utility shall notify the Commission of the names and addresses of such consumers. If any consumer fails to pay a bill issued by a pipeline distribution company or gas utility, including the tax imposed by the Commonwealth, the pipeline distribution company or gas utility shall follow its normal collection procedures with regard to the charge for the gas and the tax and upon collection of the bill or any part thereof shall (i) apportion the net amount collected between the charge for gas service and the tax and (ii) remit the tax portion to the Commission. After the consumer pays the tax to the pipeline distribution company or gas utility, the taxes shall be deemed to be held in trust by such pipeline distribution company or gas utility until remitted to the Commission. </w:t>
      </w:r>
    </w:p>
    <w:p w14:paraId="34D98037" w14:textId="77777777" w:rsidR="00B77229" w:rsidRDefault="00B77229">
      <w:pPr>
        <w:tabs>
          <w:tab w:val="left" w:pos="2718"/>
        </w:tabs>
        <w:jc w:val="both"/>
        <w:rPr>
          <w:sz w:val="14"/>
        </w:rPr>
      </w:pPr>
      <w:r>
        <w:rPr>
          <w:sz w:val="14"/>
        </w:rPr>
        <w:t xml:space="preserve">B. A pipeline distribution company or gas utility shall remit monthly to the Commission the amount of tax paid during the preceding month by the pipeline distribution company's consumers, except for the portion which represents the local consumption tax, which portion shall be remitted to the locality in which the natural gas was consumed and shall be based on such locality's license fee rate which it imposed. </w:t>
      </w:r>
    </w:p>
    <w:p w14:paraId="1718816B" w14:textId="77777777" w:rsidR="00B77229" w:rsidRDefault="00B77229">
      <w:pPr>
        <w:tabs>
          <w:tab w:val="left" w:pos="2718"/>
        </w:tabs>
        <w:jc w:val="both"/>
        <w:rPr>
          <w:sz w:val="14"/>
        </w:rPr>
      </w:pPr>
      <w:r>
        <w:rPr>
          <w:sz w:val="14"/>
        </w:rPr>
        <w:t xml:space="preserve">C. The natural gas consumption tax shall be remitted monthly, on or before the last day of the succeeding month of collection. Those portions of the natural gas consumption tax that related to the state consumption tax and the special regulatory tax shall be remitted to the Commission; the portion that relates to the local consumption tax shall be remitted to the appropriate localities. Failure to remit timely will result in a ten percent penalty. </w:t>
      </w:r>
    </w:p>
    <w:p w14:paraId="2229ABA2" w14:textId="77777777" w:rsidR="00B77229" w:rsidRDefault="00B77229">
      <w:pPr>
        <w:tabs>
          <w:tab w:val="left" w:pos="2718"/>
        </w:tabs>
        <w:jc w:val="both"/>
        <w:rPr>
          <w:sz w:val="14"/>
        </w:rPr>
      </w:pPr>
      <w:r>
        <w:rPr>
          <w:sz w:val="14"/>
        </w:rPr>
        <w:t xml:space="preserve">D. Taxes on natural gas sales in the year ending December 31, 2000, relating to the local license tax, shall be paid in accordance with § 58.1-3731. Monthly payments in accordance with subsection C shall commence on February 28, 2001. </w:t>
      </w:r>
    </w:p>
    <w:p w14:paraId="33AA1D73" w14:textId="77777777" w:rsidR="00B77229" w:rsidRDefault="00B77229">
      <w:pPr>
        <w:tabs>
          <w:tab w:val="left" w:pos="2718"/>
        </w:tabs>
        <w:jc w:val="both"/>
        <w:rPr>
          <w:sz w:val="14"/>
          <w:lang w:val="en-US"/>
        </w:rPr>
      </w:pPr>
      <w:r>
        <w:rPr>
          <w:sz w:val="14"/>
        </w:rPr>
        <w:t xml:space="preserve">E. The portion of the natural gas consumption tax relating to the local license tax replaces and precludes localities from imposing a license tax in accordance with § 58.1-3731 and the business, professional, occupation and license tax in accordance with Chapter 37 (§ 58.1-3700 et seq.) of this title on gas suppliers subsequent to December 31, 2000, except as provided in subsection D. </w:t>
      </w:r>
      <w:r>
        <w:rPr>
          <w:sz w:val="14"/>
          <w:lang w:val="en-US"/>
        </w:rPr>
        <w:t xml:space="preserve"> If the license fee rate imposed by a locality is less than the equivalent of the local consumption tax rate component of the consumption tax paid under subsection A of  § 58.1-2904, the excess collected by the Commission shall constitute additional state consumption tax revenue and shall be remitted by the Commission to the state treasury.</w:t>
      </w:r>
    </w:p>
    <w:p w14:paraId="20389614" w14:textId="77777777" w:rsidR="00B77229" w:rsidRDefault="00B77229">
      <w:pPr>
        <w:pStyle w:val="Subtitle"/>
        <w:jc w:val="left"/>
        <w:rPr>
          <w:b w:val="0"/>
          <w:sz w:val="16"/>
        </w:rPr>
      </w:pPr>
    </w:p>
    <w:p w14:paraId="35E233D0" w14:textId="77777777" w:rsidR="00B77229" w:rsidRDefault="00B77229">
      <w:pPr>
        <w:pStyle w:val="Subtitle"/>
        <w:jc w:val="left"/>
        <w:rPr>
          <w:b w:val="0"/>
          <w:sz w:val="16"/>
        </w:rPr>
      </w:pPr>
    </w:p>
    <w:p w14:paraId="41EA9565" w14:textId="77777777" w:rsidR="00B77229" w:rsidRDefault="00B77229">
      <w:pPr>
        <w:pStyle w:val="Subtitle"/>
        <w:jc w:val="left"/>
        <w:rPr>
          <w:b w:val="0"/>
          <w:sz w:val="16"/>
        </w:rPr>
      </w:pPr>
    </w:p>
    <w:p w14:paraId="5F720D92" w14:textId="77777777" w:rsidR="00B77229" w:rsidRDefault="00B77229">
      <w:pPr>
        <w:pStyle w:val="Subtitle"/>
        <w:jc w:val="left"/>
        <w:rPr>
          <w:b w:val="0"/>
          <w:sz w:val="16"/>
        </w:rPr>
      </w:pPr>
    </w:p>
    <w:p w14:paraId="357F77A0" w14:textId="77777777" w:rsidR="00B77229" w:rsidRDefault="00B77229">
      <w:pPr>
        <w:pStyle w:val="Subtitle"/>
        <w:jc w:val="left"/>
        <w:rPr>
          <w:b w:val="0"/>
          <w:sz w:val="16"/>
        </w:rPr>
      </w:pPr>
    </w:p>
    <w:p w14:paraId="761D09F1" w14:textId="77777777" w:rsidR="00B77229" w:rsidRDefault="00B77229">
      <w:pPr>
        <w:pStyle w:val="Subtitle"/>
        <w:jc w:val="left"/>
        <w:rPr>
          <w:b w:val="0"/>
          <w:sz w:val="16"/>
        </w:rPr>
      </w:pPr>
    </w:p>
    <w:p w14:paraId="53135411" w14:textId="77777777" w:rsidR="00B77229" w:rsidRDefault="00B77229">
      <w:pPr>
        <w:pStyle w:val="Subtitle"/>
        <w:jc w:val="left"/>
        <w:rPr>
          <w:b w:val="0"/>
          <w:sz w:val="16"/>
        </w:rPr>
      </w:pPr>
    </w:p>
    <w:p w14:paraId="278CF136" w14:textId="77777777" w:rsidR="00B77229" w:rsidRDefault="00B77229">
      <w:pPr>
        <w:pStyle w:val="Subtitle"/>
        <w:jc w:val="left"/>
        <w:rPr>
          <w:b w:val="0"/>
          <w:sz w:val="16"/>
        </w:rPr>
      </w:pPr>
    </w:p>
    <w:p w14:paraId="650E60B5" w14:textId="77777777" w:rsidR="00B77229" w:rsidRDefault="00B77229">
      <w:pPr>
        <w:pStyle w:val="Subtitle"/>
        <w:jc w:val="left"/>
        <w:rPr>
          <w:b w:val="0"/>
          <w:sz w:val="16"/>
        </w:rPr>
      </w:pPr>
    </w:p>
    <w:p w14:paraId="73A0F384" w14:textId="77777777" w:rsidR="00B77229" w:rsidRDefault="00B77229">
      <w:pPr>
        <w:pStyle w:val="Subtitle"/>
        <w:jc w:val="left"/>
        <w:rPr>
          <w:b w:val="0"/>
          <w:sz w:val="16"/>
        </w:rPr>
      </w:pPr>
    </w:p>
    <w:p w14:paraId="00AB0126" w14:textId="77777777" w:rsidR="00B77229" w:rsidRDefault="00B77229">
      <w:pPr>
        <w:pStyle w:val="Subtitle"/>
        <w:jc w:val="left"/>
        <w:rPr>
          <w:b w:val="0"/>
          <w:sz w:val="16"/>
        </w:rPr>
      </w:pPr>
    </w:p>
    <w:p w14:paraId="3B57BB63" w14:textId="77777777" w:rsidR="00B77229" w:rsidRDefault="00B77229">
      <w:pPr>
        <w:pStyle w:val="Subtitle"/>
        <w:jc w:val="left"/>
        <w:rPr>
          <w:b w:val="0"/>
          <w:sz w:val="16"/>
        </w:rPr>
      </w:pPr>
    </w:p>
    <w:p w14:paraId="2FBCA1BB" w14:textId="77777777" w:rsidR="00B77229" w:rsidRDefault="00B77229">
      <w:pPr>
        <w:pStyle w:val="Subtitle"/>
        <w:jc w:val="left"/>
        <w:rPr>
          <w:b w:val="0"/>
          <w:sz w:val="16"/>
        </w:rPr>
      </w:pPr>
    </w:p>
    <w:p w14:paraId="72953CED" w14:textId="77777777" w:rsidR="00B77229" w:rsidRDefault="00B77229">
      <w:pPr>
        <w:pStyle w:val="Subtitle"/>
        <w:jc w:val="left"/>
        <w:rPr>
          <w:b w:val="0"/>
          <w:sz w:val="16"/>
        </w:rPr>
      </w:pPr>
    </w:p>
    <w:p w14:paraId="624F4090" w14:textId="77777777" w:rsidR="00B77229" w:rsidRDefault="00B77229">
      <w:pPr>
        <w:pStyle w:val="Subtitle"/>
        <w:jc w:val="left"/>
        <w:rPr>
          <w:b w:val="0"/>
          <w:sz w:val="16"/>
        </w:rPr>
      </w:pPr>
    </w:p>
    <w:p w14:paraId="156CC6E1" w14:textId="77777777" w:rsidR="00B77229" w:rsidRDefault="00B77229">
      <w:pPr>
        <w:pStyle w:val="Subtitle"/>
        <w:jc w:val="left"/>
        <w:rPr>
          <w:b w:val="0"/>
          <w:sz w:val="16"/>
        </w:rPr>
      </w:pPr>
    </w:p>
    <w:p w14:paraId="0916752A" w14:textId="77777777" w:rsidR="00B77229" w:rsidRDefault="00B77229">
      <w:pPr>
        <w:pStyle w:val="Subtitle"/>
        <w:jc w:val="left"/>
        <w:rPr>
          <w:b w:val="0"/>
          <w:sz w:val="16"/>
        </w:rPr>
      </w:pPr>
    </w:p>
    <w:p w14:paraId="3D99946A" w14:textId="77777777" w:rsidR="00B77229" w:rsidRDefault="00B77229">
      <w:pPr>
        <w:pStyle w:val="Subtitle"/>
        <w:jc w:val="left"/>
        <w:rPr>
          <w:b w:val="0"/>
          <w:sz w:val="16"/>
        </w:rPr>
      </w:pPr>
    </w:p>
    <w:p w14:paraId="47DF7D46" w14:textId="77777777" w:rsidR="00B77229" w:rsidRDefault="00B77229">
      <w:pPr>
        <w:pStyle w:val="Subtitle"/>
        <w:jc w:val="left"/>
        <w:rPr>
          <w:b w:val="0"/>
          <w:sz w:val="16"/>
        </w:rPr>
      </w:pPr>
    </w:p>
    <w:p w14:paraId="63D5CD4E" w14:textId="77777777" w:rsidR="00B77229" w:rsidRDefault="00B77229">
      <w:pPr>
        <w:pStyle w:val="Subtitle"/>
        <w:jc w:val="left"/>
        <w:rPr>
          <w:b w:val="0"/>
          <w:sz w:val="16"/>
        </w:rPr>
      </w:pPr>
    </w:p>
    <w:p w14:paraId="1C32123D" w14:textId="77777777" w:rsidR="00B77229" w:rsidRDefault="00B77229">
      <w:pPr>
        <w:pStyle w:val="Subtitle"/>
        <w:jc w:val="left"/>
        <w:rPr>
          <w:b w:val="0"/>
          <w:sz w:val="16"/>
        </w:rPr>
      </w:pPr>
    </w:p>
    <w:p w14:paraId="47F26D06" w14:textId="77777777" w:rsidR="00B77229" w:rsidRDefault="00B77229">
      <w:pPr>
        <w:pStyle w:val="Subtitle"/>
        <w:jc w:val="left"/>
        <w:rPr>
          <w:b w:val="0"/>
          <w:sz w:val="16"/>
        </w:rPr>
      </w:pPr>
    </w:p>
    <w:p w14:paraId="3A4D683B" w14:textId="77777777" w:rsidR="00B77229" w:rsidRDefault="00B77229">
      <w:pPr>
        <w:pStyle w:val="Subtitle"/>
        <w:jc w:val="left"/>
        <w:rPr>
          <w:b w:val="0"/>
          <w:sz w:val="16"/>
        </w:rPr>
      </w:pPr>
    </w:p>
    <w:p w14:paraId="46A46C3C" w14:textId="77777777" w:rsidR="00B77229" w:rsidRDefault="00B77229">
      <w:pPr>
        <w:pStyle w:val="Subtitle"/>
        <w:jc w:val="left"/>
        <w:rPr>
          <w:b w:val="0"/>
          <w:sz w:val="16"/>
        </w:rPr>
      </w:pPr>
    </w:p>
    <w:p w14:paraId="2CD91A9B" w14:textId="77777777" w:rsidR="00B77229" w:rsidRDefault="00B77229">
      <w:pPr>
        <w:pStyle w:val="Subtitle"/>
        <w:jc w:val="left"/>
        <w:rPr>
          <w:b w:val="0"/>
          <w:sz w:val="16"/>
        </w:rPr>
      </w:pPr>
    </w:p>
    <w:p w14:paraId="1FDE79DD" w14:textId="77777777" w:rsidR="00B77229" w:rsidRDefault="00B77229">
      <w:pPr>
        <w:pStyle w:val="Subtitle"/>
        <w:jc w:val="left"/>
        <w:rPr>
          <w:b w:val="0"/>
          <w:sz w:val="16"/>
        </w:rPr>
      </w:pPr>
    </w:p>
    <w:p w14:paraId="34F5C6B0" w14:textId="77777777" w:rsidR="00B77229" w:rsidRDefault="00B77229">
      <w:pPr>
        <w:pStyle w:val="Subtitle"/>
        <w:jc w:val="left"/>
        <w:rPr>
          <w:b w:val="0"/>
          <w:sz w:val="16"/>
        </w:rPr>
      </w:pPr>
    </w:p>
    <w:p w14:paraId="53D418A4" w14:textId="77777777" w:rsidR="00B77229" w:rsidRDefault="00B77229">
      <w:pPr>
        <w:pStyle w:val="Subtitle"/>
        <w:jc w:val="left"/>
        <w:rPr>
          <w:b w:val="0"/>
          <w:sz w:val="16"/>
        </w:rPr>
      </w:pPr>
    </w:p>
    <w:p w14:paraId="0AC22918" w14:textId="77777777" w:rsidR="00B77229" w:rsidRDefault="00B77229">
      <w:pPr>
        <w:pStyle w:val="Subtitle"/>
        <w:jc w:val="left"/>
        <w:rPr>
          <w:b w:val="0"/>
          <w:sz w:val="16"/>
        </w:rPr>
      </w:pPr>
    </w:p>
    <w:p w14:paraId="55AF2534" w14:textId="77777777" w:rsidR="00B77229" w:rsidRDefault="00B77229">
      <w:pPr>
        <w:pStyle w:val="Subtitle"/>
        <w:jc w:val="left"/>
        <w:rPr>
          <w:b w:val="0"/>
          <w:sz w:val="16"/>
        </w:rPr>
      </w:pPr>
    </w:p>
    <w:p w14:paraId="3B333187" w14:textId="77777777" w:rsidR="00B77229" w:rsidRDefault="00B77229">
      <w:pPr>
        <w:pStyle w:val="BodyText2"/>
        <w:jc w:val="both"/>
      </w:pPr>
      <w:r>
        <w:t xml:space="preserve">§ 58.1-2906 Natural gas consumption tax relating to the special regulatory tax; notification of changes </w:t>
      </w:r>
    </w:p>
    <w:p w14:paraId="35FFE8A0" w14:textId="77777777" w:rsidR="00B77229" w:rsidRDefault="00B77229">
      <w:pPr>
        <w:jc w:val="both"/>
        <w:rPr>
          <w:sz w:val="14"/>
        </w:rPr>
      </w:pPr>
      <w:r>
        <w:rPr>
          <w:sz w:val="14"/>
        </w:rPr>
        <w:t xml:space="preserve">A. The Commission may in the performance of its function and duty in levying the natural gas utility consumption tax relating to the special regulatory tax, omit the levy on any portion of the tax fixed in § 58.1-2904 as is unnecessary within the Commission's sole discretion for the accomplishment of the objects for which the tax is imposed, including a reasonable margin in the nature of a reserve fund. </w:t>
      </w:r>
    </w:p>
    <w:p w14:paraId="358C2123" w14:textId="77777777" w:rsidR="00B77229" w:rsidRDefault="00B77229">
      <w:pPr>
        <w:pStyle w:val="BodyText3"/>
      </w:pPr>
      <w:r>
        <w:t xml:space="preserve">B. The Commission shall notify all pipeline distribution companies and gas utilities collecting the tax on consumers of natural gas of any change in the natural gas consumption tax relating to the special regulatory tax not later than the first day of the second month preceding the month in which the revised rate is to take effect. </w:t>
      </w:r>
    </w:p>
    <w:p w14:paraId="5BDFFB7A" w14:textId="77777777" w:rsidR="00B77229" w:rsidRDefault="00B77229">
      <w:pPr>
        <w:jc w:val="both"/>
        <w:rPr>
          <w:sz w:val="14"/>
        </w:rPr>
      </w:pPr>
    </w:p>
    <w:p w14:paraId="3ABF6744" w14:textId="77777777" w:rsidR="00B77229" w:rsidRDefault="00B77229">
      <w:pPr>
        <w:pStyle w:val="BodyText2"/>
        <w:jc w:val="both"/>
      </w:pPr>
      <w:r>
        <w:t>§ 58.1-2907 Use of natural gas consumption tax relating to special regulatory tax</w:t>
      </w:r>
    </w:p>
    <w:p w14:paraId="5BE95D6A" w14:textId="77777777" w:rsidR="00B77229" w:rsidRDefault="00B77229">
      <w:pPr>
        <w:jc w:val="both"/>
        <w:rPr>
          <w:sz w:val="14"/>
        </w:rPr>
      </w:pPr>
      <w:r>
        <w:rPr>
          <w:sz w:val="14"/>
        </w:rPr>
        <w:t xml:space="preserve">The natural gas consumption tax relating to the special regulatory tax paid into the treasury under this chapter shall be deposited into a special fund used only by the Commission for the purpose of making appraisals, assessments and collections against natural gas suppliers and public service corporations furnishing heat, light and power by means of natural gas and for the further purposes of the Commission in investigating and inspecting the properties or the services of such natural gas suppliers and public service corporations, and for the supervision and administration of all laws relative to such natural gas suppliers and public service corporations, whenever the same shall be deemed necessary by the Commission. </w:t>
      </w:r>
    </w:p>
    <w:p w14:paraId="22B190D0" w14:textId="77777777" w:rsidR="00B77229" w:rsidRDefault="00B77229">
      <w:pPr>
        <w:pStyle w:val="Subtitle"/>
        <w:jc w:val="left"/>
        <w:rPr>
          <w:b w:val="0"/>
          <w:sz w:val="16"/>
        </w:rPr>
      </w:pPr>
    </w:p>
    <w:p w14:paraId="110D4538" w14:textId="77777777" w:rsidR="00B77229" w:rsidRDefault="00B77229">
      <w:pPr>
        <w:pStyle w:val="Subtitle"/>
        <w:jc w:val="left"/>
        <w:rPr>
          <w:b w:val="0"/>
          <w:sz w:val="16"/>
        </w:rPr>
      </w:pPr>
    </w:p>
    <w:p w14:paraId="45253E06" w14:textId="77777777" w:rsidR="00B77229" w:rsidRDefault="00B77229">
      <w:pPr>
        <w:pStyle w:val="Subtitle"/>
        <w:jc w:val="left"/>
        <w:rPr>
          <w:b w:val="0"/>
          <w:sz w:val="16"/>
        </w:rPr>
      </w:pPr>
    </w:p>
    <w:p w14:paraId="40C94D5D" w14:textId="77777777" w:rsidR="00B77229" w:rsidRDefault="00B77229">
      <w:pPr>
        <w:pStyle w:val="Subtitle"/>
        <w:jc w:val="left"/>
        <w:rPr>
          <w:b w:val="0"/>
          <w:sz w:val="16"/>
        </w:rPr>
      </w:pPr>
    </w:p>
    <w:p w14:paraId="05A9B2D1" w14:textId="77777777" w:rsidR="00B77229" w:rsidRDefault="00B77229">
      <w:pPr>
        <w:pStyle w:val="Subtitle"/>
        <w:jc w:val="left"/>
        <w:rPr>
          <w:b w:val="0"/>
          <w:sz w:val="16"/>
        </w:rPr>
      </w:pPr>
    </w:p>
    <w:sectPr w:rsidR="00B77229">
      <w:type w:val="continuous"/>
      <w:pgSz w:w="12240" w:h="15840"/>
      <w:pgMar w:top="720" w:right="360" w:bottom="187" w:left="360" w:header="432" w:footer="720"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7E56C" w14:textId="77777777" w:rsidR="006C4304" w:rsidRDefault="006C4304">
      <w:r>
        <w:separator/>
      </w:r>
    </w:p>
  </w:endnote>
  <w:endnote w:type="continuationSeparator" w:id="0">
    <w:p w14:paraId="725E51C8" w14:textId="77777777" w:rsidR="006C4304" w:rsidRDefault="006C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6053D" w14:textId="77777777" w:rsidR="006C4304" w:rsidRDefault="006C4304">
      <w:r>
        <w:separator/>
      </w:r>
    </w:p>
  </w:footnote>
  <w:footnote w:type="continuationSeparator" w:id="0">
    <w:p w14:paraId="499DF104" w14:textId="77777777" w:rsidR="006C4304" w:rsidRDefault="006C4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ccwRtq0VU1JweYNvWY4uEgRvWKE9fPrNLglOc6f1Aq8zI5shWmaUNotZdlzUJ91ajH/ueguIS6/jQklMMuEsVA==" w:salt="yBnvfCMHDGbS2zwNSVRoz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F66"/>
    <w:rsid w:val="00023F40"/>
    <w:rsid w:val="00065F86"/>
    <w:rsid w:val="0007295F"/>
    <w:rsid w:val="000A0E9A"/>
    <w:rsid w:val="001A2370"/>
    <w:rsid w:val="0023768E"/>
    <w:rsid w:val="0026309F"/>
    <w:rsid w:val="00332CAB"/>
    <w:rsid w:val="00354E12"/>
    <w:rsid w:val="003E2B23"/>
    <w:rsid w:val="003F0080"/>
    <w:rsid w:val="00434379"/>
    <w:rsid w:val="00445A4A"/>
    <w:rsid w:val="00473B75"/>
    <w:rsid w:val="004A6B6B"/>
    <w:rsid w:val="004C453A"/>
    <w:rsid w:val="00563A05"/>
    <w:rsid w:val="00577BC5"/>
    <w:rsid w:val="005F1C40"/>
    <w:rsid w:val="00623A26"/>
    <w:rsid w:val="006A3C1A"/>
    <w:rsid w:val="006B5F13"/>
    <w:rsid w:val="006C4304"/>
    <w:rsid w:val="007662A1"/>
    <w:rsid w:val="007970FB"/>
    <w:rsid w:val="007A6C21"/>
    <w:rsid w:val="00930F66"/>
    <w:rsid w:val="00A64E0C"/>
    <w:rsid w:val="00B77229"/>
    <w:rsid w:val="00BB76C0"/>
    <w:rsid w:val="00DF3323"/>
    <w:rsid w:val="00E875AB"/>
    <w:rsid w:val="00EA116C"/>
    <w:rsid w:val="00EE12C2"/>
    <w:rsid w:val="00EF4AAA"/>
    <w:rsid w:val="00FD0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40AE301"/>
  <w15:chartTrackingRefBased/>
  <w15:docId w15:val="{9354CA33-18A7-451A-A5D6-EC309146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u-RU"/>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rPr>
  </w:style>
  <w:style w:type="paragraph" w:styleId="Title">
    <w:name w:val="Title"/>
    <w:basedOn w:val="Normal"/>
    <w:qFormat/>
    <w:pPr>
      <w:jc w:val="center"/>
    </w:pPr>
    <w:rPr>
      <w:b/>
      <w:sz w:val="24"/>
      <w:lang w:val="en-US"/>
    </w:rPr>
  </w:style>
  <w:style w:type="paragraph" w:styleId="Subtitle">
    <w:name w:val="Subtitle"/>
    <w:basedOn w:val="Normal"/>
    <w:qFormat/>
    <w:pPr>
      <w:jc w:val="center"/>
    </w:pPr>
    <w:rPr>
      <w:b/>
      <w:lang w:val="en-US"/>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Header">
    <w:name w:val="header"/>
    <w:basedOn w:val="Normal"/>
    <w:pPr>
      <w:tabs>
        <w:tab w:val="center" w:pos="4320"/>
        <w:tab w:val="right" w:pos="8640"/>
      </w:tabs>
    </w:pPr>
    <w:rPr>
      <w:lang w:val="en-US"/>
    </w:rPr>
  </w:style>
  <w:style w:type="paragraph" w:styleId="BodyText2">
    <w:name w:val="Body Text 2"/>
    <w:basedOn w:val="Normal"/>
    <w:rPr>
      <w:b/>
      <w:sz w:val="14"/>
      <w:lang w:val="en-US"/>
    </w:rPr>
  </w:style>
  <w:style w:type="paragraph" w:styleId="BodyText3">
    <w:name w:val="Body Text 3"/>
    <w:basedOn w:val="Normal"/>
    <w:pPr>
      <w:jc w:val="both"/>
    </w:pPr>
    <w:rPr>
      <w:sz w:val="14"/>
      <w:lang w:val="en-US"/>
    </w:rPr>
  </w:style>
  <w:style w:type="paragraph" w:styleId="BalloonText">
    <w:name w:val="Balloon Text"/>
    <w:basedOn w:val="Normal"/>
    <w:semiHidden/>
    <w:rsid w:val="004A6B6B"/>
    <w:rPr>
      <w:rFonts w:ascii="Tahoma" w:hAnsi="Tahoma" w:cs="Tahoma"/>
      <w:sz w:val="16"/>
      <w:szCs w:val="16"/>
    </w:rPr>
  </w:style>
  <w:style w:type="paragraph" w:styleId="BlockText">
    <w:name w:val="Block Text"/>
    <w:basedOn w:val="Normal"/>
    <w:rsid w:val="007970FB"/>
    <w:pPr>
      <w:ind w:left="1080" w:right="1080"/>
    </w:pPr>
    <w:rPr>
      <w:rFonts w:ascii="Arial" w:hAnsi="Arial"/>
      <w:sz w:val="22"/>
      <w:szCs w:val="24"/>
      <w:lang w:val="en-US"/>
    </w:rPr>
  </w:style>
  <w:style w:type="table" w:styleId="TableGrid">
    <w:name w:val="Table Grid"/>
    <w:basedOn w:val="TableNormal"/>
    <w:uiPriority w:val="59"/>
    <w:rsid w:val="00797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55A47E60C6D246A1B3127419E0995E" ma:contentTypeVersion="14" ma:contentTypeDescription="Create a new document." ma:contentTypeScope="" ma:versionID="a2af1e012e231379c16aa5174567964c">
  <xsd:schema xmlns:xsd="http://www.w3.org/2001/XMLSchema" xmlns:xs="http://www.w3.org/2001/XMLSchema" xmlns:p="http://schemas.microsoft.com/office/2006/metadata/properties" xmlns:ns2="1814606d-5151-4b77-9806-516eac62c10a" xmlns:ns3="6dd18fae-2c88-4b45-8f71-028743e01f48" targetNamespace="http://schemas.microsoft.com/office/2006/metadata/properties" ma:root="true" ma:fieldsID="72751ec06b83c7c26d178e5fd4469ed2" ns2:_="" ns3:_="">
    <xsd:import namespace="1814606d-5151-4b77-9806-516eac62c10a"/>
    <xsd:import namespace="6dd18fae-2c88-4b45-8f71-028743e01f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Date" minOccurs="0"/>
                <xsd:element ref="ns2:ACHDC_x0023_" minOccurs="0"/>
                <xsd:element ref="ns2:Deposit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4606d-5151-4b77-9806-516eac62c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e7e97cc-a963-4fb4-9e14-54d9c475f51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ate" ma:index="17" nillable="true" ma:displayName="Date" ma:format="DateOnly" ma:internalName="Date">
      <xsd:simpleType>
        <xsd:restriction base="dms:DateTime"/>
      </xsd:simpleType>
    </xsd:element>
    <xsd:element name="ACHDC_x0023_" ma:index="18" nillable="true" ma:displayName="ACH DC #" ma:format="Dropdown" ma:internalName="ACHDC_x0023_">
      <xsd:simpleType>
        <xsd:restriction base="dms:Text">
          <xsd:maxLength value="255"/>
        </xsd:restriction>
      </xsd:simpleType>
    </xsd:element>
    <xsd:element name="DepositDate" ma:index="19" nillable="true" ma:displayName="Deposit Date" ma:format="DateOnly" ma:internalName="DepositDate">
      <xsd:simpleType>
        <xsd:restriction base="dms:DateTim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d18fae-2c88-4b45-8f71-028743e01f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013cff6-f751-4c18-a3a8-30f9d86cabd7}" ma:internalName="TaxCatchAll" ma:showField="CatchAllData" ma:web="6dd18fae-2c88-4b45-8f71-028743e01f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HDC_x0023_ xmlns="1814606d-5151-4b77-9806-516eac62c10a">EDITING PASSWORD = 2024NGCT</ACHDC_x0023_>
    <DepositDate xmlns="1814606d-5151-4b77-9806-516eac62c10a" xsi:nil="true"/>
    <Date xmlns="1814606d-5151-4b77-9806-516eac62c10a" xsi:nil="true"/>
    <lcf76f155ced4ddcb4097134ff3c332f xmlns="1814606d-5151-4b77-9806-516eac62c10a">
      <Terms xmlns="http://schemas.microsoft.com/office/infopath/2007/PartnerControls"/>
    </lcf76f155ced4ddcb4097134ff3c332f>
    <TaxCatchAll xmlns="6dd18fae-2c88-4b45-8f71-028743e01f4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4E14C3-7137-49CF-8A3B-2C367AC57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4606d-5151-4b77-9806-516eac62c10a"/>
    <ds:schemaRef ds:uri="6dd18fae-2c88-4b45-8f71-028743e01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D5E8D0-C00A-4D94-A2C8-AFAD6106905F}">
  <ds:schemaRefs>
    <ds:schemaRef ds:uri="http://schemas.microsoft.com/office/2006/metadata/properties"/>
    <ds:schemaRef ds:uri="http://schemas.microsoft.com/office/infopath/2007/PartnerControls"/>
    <ds:schemaRef ds:uri="1814606d-5151-4b77-9806-516eac62c10a"/>
    <ds:schemaRef ds:uri="6dd18fae-2c88-4b45-8f71-028743e01f48"/>
  </ds:schemaRefs>
</ds:datastoreItem>
</file>

<file path=customXml/itemProps3.xml><?xml version="1.0" encoding="utf-8"?>
<ds:datastoreItem xmlns:ds="http://schemas.openxmlformats.org/officeDocument/2006/customXml" ds:itemID="{8EF62E27-5C4F-4483-A7ED-930CA9D168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TELECOMMUNICATIONS RELAY SERVICE MONTHLY REPORT</vt:lpstr>
    </vt:vector>
  </TitlesOfParts>
  <Company>SCC</Company>
  <LinksUpToDate>false</LinksUpToDate>
  <CharactersWithSpaces>8117</CharactersWithSpaces>
  <SharedDoc>false</SharedDoc>
  <HLinks>
    <vt:vector size="6" baseType="variant">
      <vt:variant>
        <vt:i4>4063318</vt:i4>
      </vt:variant>
      <vt:variant>
        <vt:i4>0</vt:i4>
      </vt:variant>
      <vt:variant>
        <vt:i4>0</vt:i4>
      </vt:variant>
      <vt:variant>
        <vt:i4>5</vt:i4>
      </vt:variant>
      <vt:variant>
        <vt:lpwstr>mailto:pstmail@scc.virginia.gov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TELECOMMUNICATIONS RELAY SERVICE MONTHLY REPORT</dc:title>
  <dc:subject/>
  <dc:creator>jcrump</dc:creator>
  <cp:keywords/>
  <cp:lastModifiedBy>Star M. Puaauli</cp:lastModifiedBy>
  <cp:revision>2</cp:revision>
  <cp:lastPrinted>2018-07-17T16:25:00Z</cp:lastPrinted>
  <dcterms:created xsi:type="dcterms:W3CDTF">2024-03-11T16:42:00Z</dcterms:created>
  <dcterms:modified xsi:type="dcterms:W3CDTF">2024-03-11T16:42:00Z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978d1b-6ed2-4706-b37d-344011273722_Enabled">
    <vt:lpwstr>true</vt:lpwstr>
  </property>
  <property fmtid="{D5CDD505-2E9C-101B-9397-08002B2CF9AE}" pid="3" name="MSIP_Label_46978d1b-6ed2-4706-b37d-344011273722_SetDate">
    <vt:lpwstr>2022-11-30T13:42:10Z</vt:lpwstr>
  </property>
  <property fmtid="{D5CDD505-2E9C-101B-9397-08002B2CF9AE}" pid="4" name="MSIP_Label_46978d1b-6ed2-4706-b37d-344011273722_Method">
    <vt:lpwstr>Privileged</vt:lpwstr>
  </property>
  <property fmtid="{D5CDD505-2E9C-101B-9397-08002B2CF9AE}" pid="5" name="MSIP_Label_46978d1b-6ed2-4706-b37d-344011273722_Name">
    <vt:lpwstr>46978d1b-6ed2-4706-b37d-344011273722</vt:lpwstr>
  </property>
  <property fmtid="{D5CDD505-2E9C-101B-9397-08002B2CF9AE}" pid="6" name="MSIP_Label_46978d1b-6ed2-4706-b37d-344011273722_SiteId">
    <vt:lpwstr>1791a7f1-2629-474f-8283-d4da7899c3be</vt:lpwstr>
  </property>
  <property fmtid="{D5CDD505-2E9C-101B-9397-08002B2CF9AE}" pid="7" name="MSIP_Label_46978d1b-6ed2-4706-b37d-344011273722_ActionId">
    <vt:lpwstr>d9357a71-e281-4afa-8f1f-9ca898a576a2</vt:lpwstr>
  </property>
  <property fmtid="{D5CDD505-2E9C-101B-9397-08002B2CF9AE}" pid="8" name="MSIP_Label_46978d1b-6ed2-4706-b37d-344011273722_ContentBits">
    <vt:lpwstr>0</vt:lpwstr>
  </property>
  <property fmtid="{D5CDD505-2E9C-101B-9397-08002B2CF9AE}" pid="9" name="ContentTypeId">
    <vt:lpwstr>0x0101005F55A47E60C6D246A1B3127419E0995E</vt:lpwstr>
  </property>
  <property fmtid="{D5CDD505-2E9C-101B-9397-08002B2CF9AE}" pid="10" name="MediaServiceImageTags">
    <vt:lpwstr/>
  </property>
</Properties>
</file>